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53526C">
        <w:trPr>
          <w:tblCellSpacing w:w="60" w:type="dxa"/>
        </w:trPr>
        <w:tc>
          <w:tcPr>
            <w:tcW w:w="1200" w:type="pct"/>
            <w:shd w:val="clear" w:color="auto" w:fill="E7F0F9"/>
          </w:tcPr>
          <w:p w:rsidR="0053526C" w:rsidRDefault="00BC6101">
            <w:pPr>
              <w:spacing w:after="0" w:line="240" w:lineRule="auto"/>
            </w:pPr>
            <w:r>
              <w:rPr>
                <w:b/>
              </w:rPr>
              <w:t>RKP broj</w:t>
            </w:r>
          </w:p>
        </w:tc>
        <w:tc>
          <w:tcPr>
            <w:tcW w:w="0" w:type="auto"/>
            <w:shd w:val="clear" w:color="auto" w:fill="E7F0F9"/>
          </w:tcPr>
          <w:p w:rsidR="0053526C" w:rsidRDefault="00BC6101">
            <w:pPr>
              <w:spacing w:after="0" w:line="240" w:lineRule="auto"/>
            </w:pPr>
            <w:r>
              <w:t>16002</w:t>
            </w:r>
          </w:p>
        </w:tc>
      </w:tr>
      <w:tr w:rsidR="0053526C">
        <w:trPr>
          <w:tblCellSpacing w:w="60" w:type="dxa"/>
        </w:trPr>
        <w:tc>
          <w:tcPr>
            <w:tcW w:w="1200" w:type="pct"/>
            <w:shd w:val="clear" w:color="auto" w:fill="E7F0F9"/>
          </w:tcPr>
          <w:p w:rsidR="0053526C" w:rsidRDefault="00BC6101">
            <w:pPr>
              <w:spacing w:after="0" w:line="240" w:lineRule="auto"/>
            </w:pPr>
            <w:r>
              <w:rPr>
                <w:b/>
              </w:rPr>
              <w:t>Naziv obveznika</w:t>
            </w:r>
          </w:p>
        </w:tc>
        <w:tc>
          <w:tcPr>
            <w:tcW w:w="0" w:type="auto"/>
            <w:shd w:val="clear" w:color="auto" w:fill="E7F0F9"/>
          </w:tcPr>
          <w:p w:rsidR="0053526C" w:rsidRDefault="00BC6101">
            <w:pPr>
              <w:spacing w:after="0" w:line="240" w:lineRule="auto"/>
            </w:pPr>
            <w:r>
              <w:t>O.Š. STJEPANA RADIĆA, BEDEKOVČINA</w:t>
            </w:r>
          </w:p>
        </w:tc>
      </w:tr>
      <w:tr w:rsidR="0053526C">
        <w:trPr>
          <w:tblCellSpacing w:w="60" w:type="dxa"/>
        </w:trPr>
        <w:tc>
          <w:tcPr>
            <w:tcW w:w="1200" w:type="pct"/>
            <w:shd w:val="clear" w:color="auto" w:fill="E7F0F9"/>
          </w:tcPr>
          <w:p w:rsidR="0053526C" w:rsidRDefault="00BC6101">
            <w:pPr>
              <w:spacing w:after="0" w:line="240" w:lineRule="auto"/>
            </w:pPr>
            <w:r>
              <w:rPr>
                <w:b/>
              </w:rPr>
              <w:t>Razina</w:t>
            </w:r>
          </w:p>
        </w:tc>
        <w:tc>
          <w:tcPr>
            <w:tcW w:w="0" w:type="auto"/>
            <w:shd w:val="clear" w:color="auto" w:fill="E7F0F9"/>
          </w:tcPr>
          <w:p w:rsidR="0053526C" w:rsidRDefault="00BC6101">
            <w:pPr>
              <w:spacing w:after="0" w:line="240" w:lineRule="auto"/>
            </w:pPr>
            <w:r>
              <w:t>31</w:t>
            </w:r>
          </w:p>
        </w:tc>
      </w:tr>
    </w:tbl>
    <w:p w:rsidR="0053526C" w:rsidRDefault="00BC6101">
      <w:r>
        <w:br/>
      </w:r>
    </w:p>
    <w:p w:rsidR="0053526C" w:rsidRDefault="00BC6101">
      <w:pPr>
        <w:spacing w:line="240" w:lineRule="auto"/>
        <w:jc w:val="center"/>
      </w:pPr>
      <w:r>
        <w:rPr>
          <w:b/>
          <w:sz w:val="28"/>
        </w:rPr>
        <w:t>BILJEŠKE UZ FINANCIJSKE IZVJEŠTAJE</w:t>
      </w:r>
    </w:p>
    <w:p w:rsidR="0053526C" w:rsidRDefault="00BC6101">
      <w:pPr>
        <w:spacing w:line="240" w:lineRule="auto"/>
        <w:jc w:val="center"/>
      </w:pPr>
      <w:r>
        <w:rPr>
          <w:b/>
          <w:sz w:val="28"/>
        </w:rPr>
        <w:t>ZA RAZDOBLJE</w:t>
      </w:r>
    </w:p>
    <w:p w:rsidR="0053526C" w:rsidRDefault="00BC6101">
      <w:pPr>
        <w:spacing w:line="240" w:lineRule="auto"/>
        <w:jc w:val="center"/>
      </w:pPr>
      <w:r>
        <w:rPr>
          <w:b/>
          <w:sz w:val="28"/>
        </w:rPr>
        <w:t>I - XII 2025.</w:t>
      </w:r>
    </w:p>
    <w:p w:rsidR="0053526C" w:rsidRDefault="0053526C"/>
    <w:p w:rsidR="0053526C" w:rsidRDefault="00BC6101">
      <w:pPr>
        <w:keepNext/>
        <w:spacing w:line="240" w:lineRule="auto"/>
        <w:jc w:val="center"/>
      </w:pPr>
      <w:r>
        <w:rPr>
          <w:b/>
          <w:sz w:val="28"/>
        </w:rPr>
        <w:t>Izvještaj o prihodima i rashodima, primicima i izdacima</w:t>
      </w:r>
    </w:p>
    <w:p w:rsidR="0053526C" w:rsidRDefault="00BC6101">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w:t>
            </w:r>
          </w:p>
        </w:tc>
        <w:tc>
          <w:tcPr>
            <w:tcW w:w="3180" w:type="dxa"/>
            <w:tcMar>
              <w:top w:w="0" w:type="dxa"/>
              <w:bottom w:w="0" w:type="dxa"/>
            </w:tcMar>
            <w:vAlign w:val="center"/>
          </w:tcPr>
          <w:p w:rsidR="0053526C" w:rsidRDefault="00BC6101">
            <w:pPr>
              <w:keepNext/>
              <w:keepLines/>
              <w:spacing w:after="0" w:line="240" w:lineRule="auto"/>
            </w:pPr>
            <w:r>
              <w:rPr>
                <w:sz w:val="18"/>
              </w:rPr>
              <w:t>PRIHODI POSLOVANJA (šifre 61+62+63+64+65+66+67+68)</w:t>
            </w:r>
          </w:p>
        </w:tc>
        <w:tc>
          <w:tcPr>
            <w:tcW w:w="700" w:type="dxa"/>
            <w:tcMar>
              <w:top w:w="0" w:type="dxa"/>
              <w:bottom w:w="0" w:type="dxa"/>
            </w:tcMar>
            <w:vAlign w:val="center"/>
          </w:tcPr>
          <w:p w:rsidR="0053526C" w:rsidRDefault="00BC6101">
            <w:pPr>
              <w:keepNext/>
              <w:keepLines/>
              <w:spacing w:after="0" w:line="240" w:lineRule="auto"/>
            </w:pPr>
            <w:r>
              <w:rPr>
                <w:sz w:val="18"/>
              </w:rPr>
              <w:t>6</w:t>
            </w:r>
          </w:p>
        </w:tc>
        <w:tc>
          <w:tcPr>
            <w:tcW w:w="1860" w:type="dxa"/>
            <w:tcMar>
              <w:top w:w="0" w:type="dxa"/>
              <w:bottom w:w="0" w:type="dxa"/>
            </w:tcMar>
            <w:vAlign w:val="center"/>
          </w:tcPr>
          <w:p w:rsidR="0053526C" w:rsidRDefault="00BC6101">
            <w:pPr>
              <w:keepNext/>
              <w:keepLines/>
              <w:spacing w:after="0" w:line="240" w:lineRule="auto"/>
              <w:jc w:val="right"/>
            </w:pPr>
            <w:r>
              <w:rPr>
                <w:sz w:val="18"/>
              </w:rPr>
              <w:t>1.265.857,54</w:t>
            </w:r>
          </w:p>
        </w:tc>
        <w:tc>
          <w:tcPr>
            <w:tcW w:w="1860" w:type="dxa"/>
            <w:tcMar>
              <w:top w:w="0" w:type="dxa"/>
              <w:bottom w:w="0" w:type="dxa"/>
            </w:tcMar>
            <w:vAlign w:val="center"/>
          </w:tcPr>
          <w:p w:rsidR="0053526C" w:rsidRDefault="00BC6101">
            <w:pPr>
              <w:keepNext/>
              <w:keepLines/>
              <w:spacing w:after="0" w:line="240" w:lineRule="auto"/>
              <w:jc w:val="right"/>
            </w:pPr>
            <w:r>
              <w:rPr>
                <w:sz w:val="18"/>
              </w:rPr>
              <w:t>1.408.656,41</w:t>
            </w:r>
          </w:p>
        </w:tc>
        <w:tc>
          <w:tcPr>
            <w:tcW w:w="700" w:type="dxa"/>
            <w:tcMar>
              <w:top w:w="0" w:type="dxa"/>
              <w:bottom w:w="0" w:type="dxa"/>
            </w:tcMar>
            <w:vAlign w:val="center"/>
          </w:tcPr>
          <w:p w:rsidR="0053526C" w:rsidRDefault="00BC6101">
            <w:pPr>
              <w:keepNext/>
              <w:keepLines/>
              <w:spacing w:after="0" w:line="240" w:lineRule="auto"/>
              <w:jc w:val="right"/>
            </w:pPr>
            <w:r>
              <w:rPr>
                <w:sz w:val="18"/>
              </w:rPr>
              <w:t>111,3</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w:t>
            </w:r>
          </w:p>
        </w:tc>
        <w:tc>
          <w:tcPr>
            <w:tcW w:w="3180" w:type="dxa"/>
            <w:tcMar>
              <w:top w:w="0" w:type="dxa"/>
              <w:bottom w:w="0" w:type="dxa"/>
            </w:tcMar>
            <w:vAlign w:val="center"/>
          </w:tcPr>
          <w:p w:rsidR="0053526C" w:rsidRDefault="00BC6101">
            <w:pPr>
              <w:keepNext/>
              <w:keepLines/>
              <w:spacing w:after="0" w:line="240" w:lineRule="auto"/>
            </w:pPr>
            <w:r>
              <w:rPr>
                <w:sz w:val="18"/>
              </w:rPr>
              <w:t>RASHODI POSLOVANJA (šifre 31+32+34+35+36+37+38)</w:t>
            </w:r>
          </w:p>
        </w:tc>
        <w:tc>
          <w:tcPr>
            <w:tcW w:w="700" w:type="dxa"/>
            <w:tcMar>
              <w:top w:w="0" w:type="dxa"/>
              <w:bottom w:w="0" w:type="dxa"/>
            </w:tcMar>
            <w:vAlign w:val="center"/>
          </w:tcPr>
          <w:p w:rsidR="0053526C" w:rsidRDefault="00BC6101">
            <w:pPr>
              <w:keepNext/>
              <w:keepLines/>
              <w:spacing w:after="0" w:line="240" w:lineRule="auto"/>
            </w:pPr>
            <w:r>
              <w:rPr>
                <w:sz w:val="18"/>
              </w:rPr>
              <w:t>3</w:t>
            </w:r>
          </w:p>
        </w:tc>
        <w:tc>
          <w:tcPr>
            <w:tcW w:w="1860" w:type="dxa"/>
            <w:tcMar>
              <w:top w:w="0" w:type="dxa"/>
              <w:bottom w:w="0" w:type="dxa"/>
            </w:tcMar>
            <w:vAlign w:val="center"/>
          </w:tcPr>
          <w:p w:rsidR="0053526C" w:rsidRDefault="00BC6101">
            <w:pPr>
              <w:keepNext/>
              <w:keepLines/>
              <w:spacing w:after="0" w:line="240" w:lineRule="auto"/>
              <w:jc w:val="right"/>
            </w:pPr>
            <w:r>
              <w:rPr>
                <w:sz w:val="18"/>
              </w:rPr>
              <w:t>1.221.016,04</w:t>
            </w:r>
          </w:p>
        </w:tc>
        <w:tc>
          <w:tcPr>
            <w:tcW w:w="1860" w:type="dxa"/>
            <w:tcMar>
              <w:top w:w="0" w:type="dxa"/>
              <w:bottom w:w="0" w:type="dxa"/>
            </w:tcMar>
            <w:vAlign w:val="center"/>
          </w:tcPr>
          <w:p w:rsidR="0053526C" w:rsidRDefault="00BC6101">
            <w:pPr>
              <w:keepNext/>
              <w:keepLines/>
              <w:spacing w:after="0" w:line="240" w:lineRule="auto"/>
              <w:jc w:val="right"/>
            </w:pPr>
            <w:r>
              <w:rPr>
                <w:sz w:val="18"/>
              </w:rPr>
              <w:t>1.479.131,66</w:t>
            </w:r>
          </w:p>
        </w:tc>
        <w:tc>
          <w:tcPr>
            <w:tcW w:w="700" w:type="dxa"/>
            <w:tcMar>
              <w:top w:w="0" w:type="dxa"/>
              <w:bottom w:w="0" w:type="dxa"/>
            </w:tcMar>
            <w:vAlign w:val="center"/>
          </w:tcPr>
          <w:p w:rsidR="0053526C" w:rsidRDefault="00BC6101">
            <w:pPr>
              <w:keepNext/>
              <w:keepLines/>
              <w:spacing w:after="0" w:line="240" w:lineRule="auto"/>
              <w:jc w:val="right"/>
            </w:pPr>
            <w:r>
              <w:rPr>
                <w:sz w:val="18"/>
              </w:rPr>
              <w:t>121,1</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b/>
                <w:sz w:val="18"/>
              </w:rPr>
              <w:t>MANJAK PRIHODA POSLOVANJA (šifre Z005-6)</w:t>
            </w:r>
          </w:p>
        </w:tc>
        <w:tc>
          <w:tcPr>
            <w:tcW w:w="700" w:type="dxa"/>
            <w:tcMar>
              <w:top w:w="0" w:type="dxa"/>
              <w:bottom w:w="0" w:type="dxa"/>
            </w:tcMar>
            <w:vAlign w:val="center"/>
          </w:tcPr>
          <w:p w:rsidR="0053526C" w:rsidRDefault="00BC6101">
            <w:pPr>
              <w:keepNext/>
              <w:keepLines/>
              <w:spacing w:after="0" w:line="240" w:lineRule="auto"/>
            </w:pPr>
            <w:r>
              <w:rPr>
                <w:b/>
                <w:sz w:val="18"/>
              </w:rPr>
              <w:t>Y001</w:t>
            </w:r>
          </w:p>
        </w:tc>
        <w:tc>
          <w:tcPr>
            <w:tcW w:w="1860" w:type="dxa"/>
            <w:tcMar>
              <w:top w:w="0" w:type="dxa"/>
              <w:bottom w:w="0" w:type="dxa"/>
            </w:tcMar>
            <w:vAlign w:val="center"/>
          </w:tcPr>
          <w:p w:rsidR="0053526C" w:rsidRDefault="00BC6101">
            <w:pPr>
              <w:keepNext/>
              <w:keepLines/>
              <w:spacing w:after="0" w:line="240" w:lineRule="auto"/>
              <w:jc w:val="right"/>
            </w:pPr>
            <w:r>
              <w:rPr>
                <w:b/>
                <w:sz w:val="18"/>
              </w:rPr>
              <w:t>0,00</w:t>
            </w:r>
          </w:p>
        </w:tc>
        <w:tc>
          <w:tcPr>
            <w:tcW w:w="1860" w:type="dxa"/>
            <w:tcMar>
              <w:top w:w="0" w:type="dxa"/>
              <w:bottom w:w="0" w:type="dxa"/>
            </w:tcMar>
            <w:vAlign w:val="center"/>
          </w:tcPr>
          <w:p w:rsidR="0053526C" w:rsidRDefault="00BC6101">
            <w:pPr>
              <w:keepNext/>
              <w:keepLines/>
              <w:spacing w:after="0" w:line="240" w:lineRule="auto"/>
              <w:jc w:val="right"/>
            </w:pPr>
            <w:r>
              <w:rPr>
                <w:b/>
                <w:sz w:val="18"/>
              </w:rPr>
              <w:t>70.475,25</w:t>
            </w:r>
          </w:p>
        </w:tc>
        <w:tc>
          <w:tcPr>
            <w:tcW w:w="700" w:type="dxa"/>
            <w:tcMar>
              <w:top w:w="0" w:type="dxa"/>
              <w:bottom w:w="0" w:type="dxa"/>
            </w:tcMar>
            <w:vAlign w:val="center"/>
          </w:tcPr>
          <w:p w:rsidR="0053526C" w:rsidRDefault="00BC6101">
            <w:pPr>
              <w:keepNext/>
              <w:keepLines/>
              <w:spacing w:after="0" w:line="240" w:lineRule="auto"/>
              <w:jc w:val="right"/>
            </w:pPr>
            <w:r>
              <w:rPr>
                <w:b/>
                <w:sz w:val="18"/>
              </w:rPr>
              <w:t>-</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7</w:t>
            </w:r>
          </w:p>
        </w:tc>
        <w:tc>
          <w:tcPr>
            <w:tcW w:w="3180" w:type="dxa"/>
            <w:tcMar>
              <w:top w:w="0" w:type="dxa"/>
              <w:bottom w:w="0" w:type="dxa"/>
            </w:tcMar>
            <w:vAlign w:val="center"/>
          </w:tcPr>
          <w:p w:rsidR="0053526C" w:rsidRDefault="00BC6101">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53526C" w:rsidRDefault="00BC6101">
            <w:pPr>
              <w:keepNext/>
              <w:keepLines/>
              <w:spacing w:after="0" w:line="240" w:lineRule="auto"/>
            </w:pPr>
            <w:r>
              <w:rPr>
                <w:sz w:val="18"/>
              </w:rPr>
              <w:t>7</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4</w:t>
            </w:r>
          </w:p>
        </w:tc>
        <w:tc>
          <w:tcPr>
            <w:tcW w:w="3180" w:type="dxa"/>
            <w:tcMar>
              <w:top w:w="0" w:type="dxa"/>
              <w:bottom w:w="0" w:type="dxa"/>
            </w:tcMar>
            <w:vAlign w:val="center"/>
          </w:tcPr>
          <w:p w:rsidR="0053526C" w:rsidRDefault="00BC6101">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53526C" w:rsidRDefault="00BC6101">
            <w:pPr>
              <w:keepNext/>
              <w:keepLines/>
              <w:spacing w:after="0" w:line="240" w:lineRule="auto"/>
            </w:pPr>
            <w:r>
              <w:rPr>
                <w:sz w:val="18"/>
              </w:rPr>
              <w:t>4</w:t>
            </w:r>
          </w:p>
        </w:tc>
        <w:tc>
          <w:tcPr>
            <w:tcW w:w="1860" w:type="dxa"/>
            <w:tcMar>
              <w:top w:w="0" w:type="dxa"/>
              <w:bottom w:w="0" w:type="dxa"/>
            </w:tcMar>
            <w:vAlign w:val="center"/>
          </w:tcPr>
          <w:p w:rsidR="0053526C" w:rsidRDefault="00BC6101">
            <w:pPr>
              <w:keepNext/>
              <w:keepLines/>
              <w:spacing w:after="0" w:line="240" w:lineRule="auto"/>
              <w:jc w:val="right"/>
            </w:pPr>
            <w:r>
              <w:rPr>
                <w:sz w:val="18"/>
              </w:rPr>
              <w:t>36.140,20</w:t>
            </w:r>
          </w:p>
        </w:tc>
        <w:tc>
          <w:tcPr>
            <w:tcW w:w="1860" w:type="dxa"/>
            <w:tcMar>
              <w:top w:w="0" w:type="dxa"/>
              <w:bottom w:w="0" w:type="dxa"/>
            </w:tcMar>
            <w:vAlign w:val="center"/>
          </w:tcPr>
          <w:p w:rsidR="0053526C" w:rsidRDefault="00BC6101">
            <w:pPr>
              <w:keepNext/>
              <w:keepLines/>
              <w:spacing w:after="0" w:line="240" w:lineRule="auto"/>
              <w:jc w:val="right"/>
            </w:pPr>
            <w:r>
              <w:rPr>
                <w:sz w:val="18"/>
              </w:rPr>
              <w:t>55.564,21</w:t>
            </w:r>
          </w:p>
        </w:tc>
        <w:tc>
          <w:tcPr>
            <w:tcW w:w="700" w:type="dxa"/>
            <w:tcMar>
              <w:top w:w="0" w:type="dxa"/>
              <w:bottom w:w="0" w:type="dxa"/>
            </w:tcMar>
            <w:vAlign w:val="center"/>
          </w:tcPr>
          <w:p w:rsidR="0053526C" w:rsidRDefault="00BC6101">
            <w:pPr>
              <w:keepNext/>
              <w:keepLines/>
              <w:spacing w:after="0" w:line="240" w:lineRule="auto"/>
              <w:jc w:val="right"/>
            </w:pPr>
            <w:r>
              <w:rPr>
                <w:sz w:val="18"/>
              </w:rPr>
              <w:t>153,7</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53526C" w:rsidRDefault="00BC6101">
            <w:pPr>
              <w:keepNext/>
              <w:keepLines/>
              <w:spacing w:after="0" w:line="240" w:lineRule="auto"/>
            </w:pPr>
            <w:r>
              <w:rPr>
                <w:b/>
                <w:sz w:val="18"/>
              </w:rPr>
              <w:t>Y002</w:t>
            </w:r>
          </w:p>
        </w:tc>
        <w:tc>
          <w:tcPr>
            <w:tcW w:w="1860" w:type="dxa"/>
            <w:tcMar>
              <w:top w:w="0" w:type="dxa"/>
              <w:bottom w:w="0" w:type="dxa"/>
            </w:tcMar>
            <w:vAlign w:val="center"/>
          </w:tcPr>
          <w:p w:rsidR="0053526C" w:rsidRDefault="00BC6101">
            <w:pPr>
              <w:keepNext/>
              <w:keepLines/>
              <w:spacing w:after="0" w:line="240" w:lineRule="auto"/>
              <w:jc w:val="right"/>
            </w:pPr>
            <w:r>
              <w:rPr>
                <w:b/>
                <w:sz w:val="18"/>
              </w:rPr>
              <w:t>36.140,20</w:t>
            </w:r>
          </w:p>
        </w:tc>
        <w:tc>
          <w:tcPr>
            <w:tcW w:w="1860" w:type="dxa"/>
            <w:tcMar>
              <w:top w:w="0" w:type="dxa"/>
              <w:bottom w:w="0" w:type="dxa"/>
            </w:tcMar>
            <w:vAlign w:val="center"/>
          </w:tcPr>
          <w:p w:rsidR="0053526C" w:rsidRDefault="00BC6101">
            <w:pPr>
              <w:keepNext/>
              <w:keepLines/>
              <w:spacing w:after="0" w:line="240" w:lineRule="auto"/>
              <w:jc w:val="right"/>
            </w:pPr>
            <w:r>
              <w:rPr>
                <w:b/>
                <w:sz w:val="18"/>
              </w:rPr>
              <w:t>55.564,21</w:t>
            </w:r>
          </w:p>
        </w:tc>
        <w:tc>
          <w:tcPr>
            <w:tcW w:w="700" w:type="dxa"/>
            <w:tcMar>
              <w:top w:w="0" w:type="dxa"/>
              <w:bottom w:w="0" w:type="dxa"/>
            </w:tcMar>
            <w:vAlign w:val="center"/>
          </w:tcPr>
          <w:p w:rsidR="0053526C" w:rsidRDefault="00BC6101">
            <w:pPr>
              <w:keepNext/>
              <w:keepLines/>
              <w:spacing w:after="0" w:line="240" w:lineRule="auto"/>
              <w:jc w:val="right"/>
            </w:pPr>
            <w:r>
              <w:rPr>
                <w:b/>
                <w:sz w:val="18"/>
              </w:rPr>
              <w:t>153,7</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8</w:t>
            </w:r>
          </w:p>
        </w:tc>
        <w:tc>
          <w:tcPr>
            <w:tcW w:w="3180" w:type="dxa"/>
            <w:tcMar>
              <w:top w:w="0" w:type="dxa"/>
              <w:bottom w:w="0" w:type="dxa"/>
            </w:tcMar>
            <w:vAlign w:val="center"/>
          </w:tcPr>
          <w:p w:rsidR="0053526C" w:rsidRDefault="00BC6101">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53526C" w:rsidRDefault="00BC6101">
            <w:pPr>
              <w:keepNext/>
              <w:keepLines/>
              <w:spacing w:after="0" w:line="240" w:lineRule="auto"/>
            </w:pPr>
            <w:r>
              <w:rPr>
                <w:sz w:val="18"/>
              </w:rPr>
              <w:t>8</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5</w:t>
            </w:r>
          </w:p>
        </w:tc>
        <w:tc>
          <w:tcPr>
            <w:tcW w:w="3180" w:type="dxa"/>
            <w:tcMar>
              <w:top w:w="0" w:type="dxa"/>
              <w:bottom w:w="0" w:type="dxa"/>
            </w:tcMar>
            <w:vAlign w:val="center"/>
          </w:tcPr>
          <w:p w:rsidR="0053526C" w:rsidRDefault="00BC6101">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53526C" w:rsidRDefault="00BC6101">
            <w:pPr>
              <w:keepNext/>
              <w:keepLines/>
              <w:spacing w:after="0" w:line="240" w:lineRule="auto"/>
            </w:pPr>
            <w:r>
              <w:rPr>
                <w:sz w:val="18"/>
              </w:rPr>
              <w:t>5</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53526C" w:rsidRDefault="00BC6101">
            <w:pPr>
              <w:keepNext/>
              <w:keepLines/>
              <w:spacing w:after="0" w:line="240" w:lineRule="auto"/>
            </w:pPr>
            <w:r>
              <w:rPr>
                <w:b/>
                <w:sz w:val="18"/>
              </w:rPr>
              <w:t>X003, Y003</w:t>
            </w:r>
          </w:p>
        </w:tc>
        <w:tc>
          <w:tcPr>
            <w:tcW w:w="1860" w:type="dxa"/>
            <w:tcMar>
              <w:top w:w="0" w:type="dxa"/>
              <w:bottom w:w="0" w:type="dxa"/>
            </w:tcMar>
            <w:vAlign w:val="center"/>
          </w:tcPr>
          <w:p w:rsidR="0053526C" w:rsidRDefault="00BC6101">
            <w:pPr>
              <w:keepNext/>
              <w:keepLines/>
              <w:spacing w:after="0" w:line="240" w:lineRule="auto"/>
              <w:jc w:val="right"/>
            </w:pPr>
            <w:r>
              <w:rPr>
                <w:b/>
                <w:sz w:val="18"/>
              </w:rPr>
              <w:t>0,00</w:t>
            </w:r>
          </w:p>
        </w:tc>
        <w:tc>
          <w:tcPr>
            <w:tcW w:w="1860" w:type="dxa"/>
            <w:tcMar>
              <w:top w:w="0" w:type="dxa"/>
              <w:bottom w:w="0" w:type="dxa"/>
            </w:tcMar>
            <w:vAlign w:val="center"/>
          </w:tcPr>
          <w:p w:rsidR="0053526C" w:rsidRDefault="00BC6101">
            <w:pPr>
              <w:keepNext/>
              <w:keepLines/>
              <w:spacing w:after="0" w:line="240" w:lineRule="auto"/>
              <w:jc w:val="right"/>
            </w:pPr>
            <w:r>
              <w:rPr>
                <w:b/>
                <w:sz w:val="18"/>
              </w:rPr>
              <w:t>0,00</w:t>
            </w:r>
          </w:p>
        </w:tc>
        <w:tc>
          <w:tcPr>
            <w:tcW w:w="700" w:type="dxa"/>
            <w:tcMar>
              <w:top w:w="0" w:type="dxa"/>
              <w:bottom w:w="0" w:type="dxa"/>
            </w:tcMar>
            <w:vAlign w:val="center"/>
          </w:tcPr>
          <w:p w:rsidR="0053526C" w:rsidRDefault="00BC6101">
            <w:pPr>
              <w:keepNext/>
              <w:keepLines/>
              <w:spacing w:after="0" w:line="240" w:lineRule="auto"/>
              <w:jc w:val="right"/>
            </w:pPr>
            <w:r>
              <w:rPr>
                <w:b/>
                <w:sz w:val="18"/>
              </w:rPr>
              <w:t>-</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b/>
                <w:sz w:val="18"/>
              </w:rPr>
              <w:t>MANJAK PRIHODA I PRIMITAKA (šifre Y345-X678)</w:t>
            </w:r>
          </w:p>
        </w:tc>
        <w:tc>
          <w:tcPr>
            <w:tcW w:w="700" w:type="dxa"/>
            <w:tcMar>
              <w:top w:w="0" w:type="dxa"/>
              <w:bottom w:w="0" w:type="dxa"/>
            </w:tcMar>
            <w:vAlign w:val="center"/>
          </w:tcPr>
          <w:p w:rsidR="0053526C" w:rsidRDefault="00BC6101">
            <w:pPr>
              <w:keepNext/>
              <w:keepLines/>
              <w:spacing w:after="0" w:line="240" w:lineRule="auto"/>
            </w:pPr>
            <w:r>
              <w:rPr>
                <w:b/>
                <w:sz w:val="18"/>
              </w:rPr>
              <w:t>Y005</w:t>
            </w:r>
          </w:p>
        </w:tc>
        <w:tc>
          <w:tcPr>
            <w:tcW w:w="1860" w:type="dxa"/>
            <w:tcMar>
              <w:top w:w="0" w:type="dxa"/>
              <w:bottom w:w="0" w:type="dxa"/>
            </w:tcMar>
            <w:vAlign w:val="center"/>
          </w:tcPr>
          <w:p w:rsidR="0053526C" w:rsidRDefault="00BC6101">
            <w:pPr>
              <w:keepNext/>
              <w:keepLines/>
              <w:spacing w:after="0" w:line="240" w:lineRule="auto"/>
              <w:jc w:val="right"/>
            </w:pPr>
            <w:r>
              <w:rPr>
                <w:b/>
                <w:sz w:val="18"/>
              </w:rPr>
              <w:t>0,00</w:t>
            </w:r>
          </w:p>
        </w:tc>
        <w:tc>
          <w:tcPr>
            <w:tcW w:w="1860" w:type="dxa"/>
            <w:tcMar>
              <w:top w:w="0" w:type="dxa"/>
              <w:bottom w:w="0" w:type="dxa"/>
            </w:tcMar>
            <w:vAlign w:val="center"/>
          </w:tcPr>
          <w:p w:rsidR="0053526C" w:rsidRDefault="00BC6101">
            <w:pPr>
              <w:keepNext/>
              <w:keepLines/>
              <w:spacing w:after="0" w:line="240" w:lineRule="auto"/>
              <w:jc w:val="right"/>
            </w:pPr>
            <w:r>
              <w:rPr>
                <w:b/>
                <w:sz w:val="18"/>
              </w:rPr>
              <w:t>126.039,46</w:t>
            </w:r>
          </w:p>
        </w:tc>
        <w:tc>
          <w:tcPr>
            <w:tcW w:w="700" w:type="dxa"/>
            <w:tcMar>
              <w:top w:w="0" w:type="dxa"/>
              <w:bottom w:w="0" w:type="dxa"/>
            </w:tcMar>
            <w:vAlign w:val="center"/>
          </w:tcPr>
          <w:p w:rsidR="0053526C" w:rsidRDefault="00BC6101">
            <w:pPr>
              <w:keepNext/>
              <w:keepLines/>
              <w:spacing w:after="0" w:line="240" w:lineRule="auto"/>
              <w:jc w:val="right"/>
            </w:pPr>
            <w:r>
              <w:rPr>
                <w:b/>
                <w:sz w:val="18"/>
              </w:rPr>
              <w:t>-</w:t>
            </w:r>
          </w:p>
        </w:tc>
      </w:tr>
    </w:tbl>
    <w:p w:rsidR="0053526C" w:rsidRDefault="0053526C">
      <w:pPr>
        <w:spacing w:after="0"/>
      </w:pPr>
    </w:p>
    <w:p w:rsidR="0053526C" w:rsidRDefault="00BC6101">
      <w:r>
        <w:t xml:space="preserve">Manjak prihoda poslovanja (šifra Y001) u iznosu u 70.475,25 eura  odnosi se na uknjižene troškove za zaposlene za 12.m. 2025. godine, nenaplaćene troškove prehrane učenika za 12. m. 2025. godine, nenaplaćene materijalne troškove za 12.m. 2025. godine,  te troškove financirane iz viška prihoda proteklih godina. Manjak prihoda od nefinancijske imovine  (šifra Y002) u iznosu od 55.564,21 eura odnosi se na troškove nabave opreme financirane iz viška prihoda proteklih godina,  te na troškove nabavke dugotrajne nefinancijske imovine iz  kapitalnih sredstva koja se klasificiraju kao prihodi redovnog poslovanja za nabavu </w:t>
      </w:r>
      <w:r>
        <w:lastRenderedPageBreak/>
        <w:t>dugotrajne nefinancijske imovine.  Ukupan manjak prihoda nad rashodima (šifra Y005) iznosi 126.039,46 eura odnosi se na manjak prihoda od poslovanja u iznosu od 70.475,25 eura i manjak prihoda od nefinancijske imovine u iznosu od 55.564,21 eura.  Preneseni višak prihoda iz proteklih godina iznosi 25.282,44 eura, tako da ukupni  manjak za pokriće u sljedećem razdoblju iznosi 100.757,02 eura.</w:t>
      </w:r>
    </w:p>
    <w:p w:rsidR="0053526C" w:rsidRDefault="00BC6101">
      <w:r>
        <w:br/>
      </w:r>
    </w:p>
    <w:p w:rsidR="0053526C" w:rsidRDefault="00BC6101">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6361</w:t>
            </w:r>
          </w:p>
        </w:tc>
        <w:tc>
          <w:tcPr>
            <w:tcW w:w="3180" w:type="dxa"/>
            <w:tcMar>
              <w:top w:w="0" w:type="dxa"/>
              <w:bottom w:w="0" w:type="dxa"/>
            </w:tcMar>
            <w:vAlign w:val="center"/>
          </w:tcPr>
          <w:p w:rsidR="0053526C" w:rsidRDefault="00BC6101">
            <w:pPr>
              <w:keepNext/>
              <w:keepLines/>
              <w:spacing w:after="0" w:line="240" w:lineRule="auto"/>
            </w:pPr>
            <w:r>
              <w:rPr>
                <w:sz w:val="18"/>
              </w:rPr>
              <w:t>Tekuće pomoći proračunskim korisnicima iz proračuna koji im nije nadležan</w:t>
            </w:r>
          </w:p>
        </w:tc>
        <w:tc>
          <w:tcPr>
            <w:tcW w:w="700" w:type="dxa"/>
            <w:tcMar>
              <w:top w:w="0" w:type="dxa"/>
              <w:bottom w:w="0" w:type="dxa"/>
            </w:tcMar>
            <w:vAlign w:val="center"/>
          </w:tcPr>
          <w:p w:rsidR="0053526C" w:rsidRDefault="00BC6101">
            <w:pPr>
              <w:keepNext/>
              <w:keepLines/>
              <w:spacing w:after="0" w:line="240" w:lineRule="auto"/>
            </w:pPr>
            <w:r>
              <w:rPr>
                <w:sz w:val="18"/>
              </w:rPr>
              <w:t>6361</w:t>
            </w:r>
          </w:p>
        </w:tc>
        <w:tc>
          <w:tcPr>
            <w:tcW w:w="1860" w:type="dxa"/>
            <w:tcMar>
              <w:top w:w="0" w:type="dxa"/>
              <w:bottom w:w="0" w:type="dxa"/>
            </w:tcMar>
            <w:vAlign w:val="center"/>
          </w:tcPr>
          <w:p w:rsidR="0053526C" w:rsidRDefault="00BC6101">
            <w:pPr>
              <w:keepNext/>
              <w:keepLines/>
              <w:spacing w:after="0" w:line="240" w:lineRule="auto"/>
              <w:jc w:val="right"/>
            </w:pPr>
            <w:r>
              <w:rPr>
                <w:sz w:val="18"/>
              </w:rPr>
              <w:t>1.141.236,28</w:t>
            </w:r>
          </w:p>
        </w:tc>
        <w:tc>
          <w:tcPr>
            <w:tcW w:w="1860" w:type="dxa"/>
            <w:tcMar>
              <w:top w:w="0" w:type="dxa"/>
              <w:bottom w:w="0" w:type="dxa"/>
            </w:tcMar>
            <w:vAlign w:val="center"/>
          </w:tcPr>
          <w:p w:rsidR="0053526C" w:rsidRDefault="00BC6101">
            <w:pPr>
              <w:keepNext/>
              <w:keepLines/>
              <w:spacing w:after="0" w:line="240" w:lineRule="auto"/>
              <w:jc w:val="right"/>
            </w:pPr>
            <w:r>
              <w:rPr>
                <w:sz w:val="18"/>
              </w:rPr>
              <w:t>1.243.284,87</w:t>
            </w:r>
          </w:p>
        </w:tc>
        <w:tc>
          <w:tcPr>
            <w:tcW w:w="700" w:type="dxa"/>
            <w:tcMar>
              <w:top w:w="0" w:type="dxa"/>
              <w:bottom w:w="0" w:type="dxa"/>
            </w:tcMar>
            <w:vAlign w:val="center"/>
          </w:tcPr>
          <w:p w:rsidR="0053526C" w:rsidRDefault="00BC6101">
            <w:pPr>
              <w:keepNext/>
              <w:keepLines/>
              <w:spacing w:after="0" w:line="240" w:lineRule="auto"/>
              <w:jc w:val="right"/>
            </w:pPr>
            <w:r>
              <w:rPr>
                <w:sz w:val="18"/>
              </w:rPr>
              <w:t>108,9</w:t>
            </w:r>
          </w:p>
        </w:tc>
      </w:tr>
    </w:tbl>
    <w:p w:rsidR="0053526C" w:rsidRDefault="0053526C">
      <w:pPr>
        <w:spacing w:after="0"/>
      </w:pPr>
    </w:p>
    <w:p w:rsidR="0053526C" w:rsidRDefault="00BC6101">
      <w:r>
        <w:t>U  tekuće pomoći proračunskim korisnicima iz proračuna koji im nije nadležan u iznosu od 1.243.284,87 eura  uvršteni su  prihodi od Ministarstva znanosti, obrazovanja  u iznosu od  eura za plaće i ostale rashode za zaposlene, ostale materijalne rashode, prihodi za financiranje troškova prehrane učenika i  prihodi za provođenje projekata u iznosu od 1.219.705,02 eura te prihod iz općinskog proračuna u iznosu od 23.579,85 eura. Navedeni prihodi veći su u odnosu na isto razdoblje protekle godine iz razloga što su u ovoj godini  povećani prihodi za isplatu plaća i materijalnih prava djelatnicima.</w:t>
      </w:r>
    </w:p>
    <w:p w:rsidR="0053526C" w:rsidRDefault="0053526C"/>
    <w:p w:rsidR="0053526C" w:rsidRDefault="00BC6101">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6362</w:t>
            </w:r>
          </w:p>
        </w:tc>
        <w:tc>
          <w:tcPr>
            <w:tcW w:w="3180" w:type="dxa"/>
            <w:tcMar>
              <w:top w:w="0" w:type="dxa"/>
              <w:bottom w:w="0" w:type="dxa"/>
            </w:tcMar>
            <w:vAlign w:val="center"/>
          </w:tcPr>
          <w:p w:rsidR="0053526C" w:rsidRDefault="00BC6101">
            <w:pPr>
              <w:keepNext/>
              <w:keepLines/>
              <w:spacing w:after="0" w:line="240" w:lineRule="auto"/>
            </w:pPr>
            <w:r>
              <w:rPr>
                <w:sz w:val="18"/>
              </w:rPr>
              <w:t>Kapitalne pomoći proračunskim korisnicima iz proračuna koji im nije nadležan</w:t>
            </w:r>
          </w:p>
        </w:tc>
        <w:tc>
          <w:tcPr>
            <w:tcW w:w="700" w:type="dxa"/>
            <w:tcMar>
              <w:top w:w="0" w:type="dxa"/>
              <w:bottom w:w="0" w:type="dxa"/>
            </w:tcMar>
            <w:vAlign w:val="center"/>
          </w:tcPr>
          <w:p w:rsidR="0053526C" w:rsidRDefault="00BC6101">
            <w:pPr>
              <w:keepNext/>
              <w:keepLines/>
              <w:spacing w:after="0" w:line="240" w:lineRule="auto"/>
            </w:pPr>
            <w:r>
              <w:rPr>
                <w:sz w:val="18"/>
              </w:rPr>
              <w:t>6362</w:t>
            </w:r>
          </w:p>
        </w:tc>
        <w:tc>
          <w:tcPr>
            <w:tcW w:w="1860" w:type="dxa"/>
            <w:tcMar>
              <w:top w:w="0" w:type="dxa"/>
              <w:bottom w:w="0" w:type="dxa"/>
            </w:tcMar>
            <w:vAlign w:val="center"/>
          </w:tcPr>
          <w:p w:rsidR="0053526C" w:rsidRDefault="00BC6101">
            <w:pPr>
              <w:keepNext/>
              <w:keepLines/>
              <w:spacing w:after="0" w:line="240" w:lineRule="auto"/>
              <w:jc w:val="right"/>
            </w:pPr>
            <w:r>
              <w:rPr>
                <w:sz w:val="18"/>
              </w:rPr>
              <w:t>2.410,06</w:t>
            </w:r>
          </w:p>
        </w:tc>
        <w:tc>
          <w:tcPr>
            <w:tcW w:w="1860" w:type="dxa"/>
            <w:tcMar>
              <w:top w:w="0" w:type="dxa"/>
              <w:bottom w:w="0" w:type="dxa"/>
            </w:tcMar>
            <w:vAlign w:val="center"/>
          </w:tcPr>
          <w:p w:rsidR="0053526C" w:rsidRDefault="00BC6101">
            <w:pPr>
              <w:keepNext/>
              <w:keepLines/>
              <w:spacing w:after="0" w:line="240" w:lineRule="auto"/>
              <w:jc w:val="right"/>
            </w:pPr>
            <w:r>
              <w:rPr>
                <w:sz w:val="18"/>
              </w:rPr>
              <w:t>758,71</w:t>
            </w:r>
          </w:p>
        </w:tc>
        <w:tc>
          <w:tcPr>
            <w:tcW w:w="700" w:type="dxa"/>
            <w:tcMar>
              <w:top w:w="0" w:type="dxa"/>
              <w:bottom w:w="0" w:type="dxa"/>
            </w:tcMar>
            <w:vAlign w:val="center"/>
          </w:tcPr>
          <w:p w:rsidR="0053526C" w:rsidRDefault="00BC6101">
            <w:pPr>
              <w:keepNext/>
              <w:keepLines/>
              <w:spacing w:after="0" w:line="240" w:lineRule="auto"/>
              <w:jc w:val="right"/>
            </w:pPr>
            <w:r>
              <w:rPr>
                <w:sz w:val="18"/>
              </w:rPr>
              <w:t>31,5</w:t>
            </w:r>
          </w:p>
        </w:tc>
      </w:tr>
    </w:tbl>
    <w:p w:rsidR="0053526C" w:rsidRDefault="0053526C">
      <w:pPr>
        <w:spacing w:after="0"/>
      </w:pPr>
    </w:p>
    <w:p w:rsidR="0053526C" w:rsidRDefault="00BC6101">
      <w:r>
        <w:t xml:space="preserve">U  kapitalne pomoći iz proračuna koji nam nije nadležan evidentirani su prihodi iz državnog proračuna nabavu lektire i neradnih udžbenika za učenike u iznosu od 453,30 eura te prihod iz općinskog proračuna za nabavu opreme u iznosu od 305,41 eura.  Navedeni prihodi  znatno su manji u odnosu na isto razdoblje protekle godine djelomično iz razloga što su izdaci za </w:t>
      </w:r>
      <w:proofErr w:type="spellStart"/>
      <w:r>
        <w:t>opremu,koja</w:t>
      </w:r>
      <w:proofErr w:type="spellEnd"/>
      <w:r>
        <w:t xml:space="preserve"> je nabavljena iz sredstava za </w:t>
      </w:r>
      <w:proofErr w:type="spellStart"/>
      <w:r>
        <w:t>finaciranje</w:t>
      </w:r>
      <w:proofErr w:type="spellEnd"/>
      <w:r>
        <w:t xml:space="preserve"> projekata,  financirani iz viška prihoda protekle godine. </w:t>
      </w:r>
    </w:p>
    <w:p w:rsidR="0053526C" w:rsidRDefault="00BC6101">
      <w:r>
        <w:t> </w:t>
      </w:r>
    </w:p>
    <w:p w:rsidR="0053526C" w:rsidRDefault="0053526C"/>
    <w:p w:rsidR="0053526C" w:rsidRDefault="00BC6101">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6382</w:t>
            </w:r>
          </w:p>
        </w:tc>
        <w:tc>
          <w:tcPr>
            <w:tcW w:w="3180" w:type="dxa"/>
            <w:tcMar>
              <w:top w:w="0" w:type="dxa"/>
              <w:bottom w:w="0" w:type="dxa"/>
            </w:tcMar>
            <w:vAlign w:val="center"/>
          </w:tcPr>
          <w:p w:rsidR="0053526C" w:rsidRDefault="00BC6101">
            <w:pPr>
              <w:keepNext/>
              <w:keepLines/>
              <w:spacing w:after="0" w:line="240" w:lineRule="auto"/>
            </w:pPr>
            <w:r>
              <w:rPr>
                <w:sz w:val="18"/>
              </w:rPr>
              <w:t>Kapitalne pomoći temeljem prijenosa EU sredstava</w:t>
            </w:r>
          </w:p>
        </w:tc>
        <w:tc>
          <w:tcPr>
            <w:tcW w:w="700" w:type="dxa"/>
            <w:tcMar>
              <w:top w:w="0" w:type="dxa"/>
              <w:bottom w:w="0" w:type="dxa"/>
            </w:tcMar>
            <w:vAlign w:val="center"/>
          </w:tcPr>
          <w:p w:rsidR="0053526C" w:rsidRDefault="00BC6101">
            <w:pPr>
              <w:keepNext/>
              <w:keepLines/>
              <w:spacing w:after="0" w:line="240" w:lineRule="auto"/>
            </w:pPr>
            <w:r>
              <w:rPr>
                <w:sz w:val="18"/>
              </w:rPr>
              <w:t>6382</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12.250,00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U kapitalnim pomoćima temeljem prijenosa EU sredstava vodimo prihode iz izvora 5.7.1 - projekt NPOO za dogradnju škole - projektno-tehnička dokumentacija u iznosu od 12.250,00 eura.</w:t>
      </w:r>
    </w:p>
    <w:p w:rsidR="0053526C" w:rsidRDefault="0053526C"/>
    <w:p w:rsidR="0053526C" w:rsidRDefault="00BC6101">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6526</w:t>
            </w:r>
          </w:p>
        </w:tc>
        <w:tc>
          <w:tcPr>
            <w:tcW w:w="3180" w:type="dxa"/>
            <w:tcMar>
              <w:top w:w="0" w:type="dxa"/>
              <w:bottom w:w="0" w:type="dxa"/>
            </w:tcMar>
            <w:vAlign w:val="center"/>
          </w:tcPr>
          <w:p w:rsidR="0053526C" w:rsidRDefault="00BC6101">
            <w:pPr>
              <w:keepNext/>
              <w:keepLines/>
              <w:spacing w:after="0" w:line="240" w:lineRule="auto"/>
            </w:pPr>
            <w:r>
              <w:rPr>
                <w:sz w:val="18"/>
              </w:rPr>
              <w:t>Ostali nespomenuti prihodi</w:t>
            </w:r>
          </w:p>
        </w:tc>
        <w:tc>
          <w:tcPr>
            <w:tcW w:w="700" w:type="dxa"/>
            <w:tcMar>
              <w:top w:w="0" w:type="dxa"/>
              <w:bottom w:w="0" w:type="dxa"/>
            </w:tcMar>
            <w:vAlign w:val="center"/>
          </w:tcPr>
          <w:p w:rsidR="0053526C" w:rsidRDefault="00BC6101">
            <w:pPr>
              <w:keepNext/>
              <w:keepLines/>
              <w:spacing w:after="0" w:line="240" w:lineRule="auto"/>
            </w:pPr>
            <w:r>
              <w:rPr>
                <w:sz w:val="18"/>
              </w:rPr>
              <w:t>6526</w:t>
            </w:r>
          </w:p>
        </w:tc>
        <w:tc>
          <w:tcPr>
            <w:tcW w:w="1860" w:type="dxa"/>
            <w:tcMar>
              <w:top w:w="0" w:type="dxa"/>
              <w:bottom w:w="0" w:type="dxa"/>
            </w:tcMar>
            <w:vAlign w:val="center"/>
          </w:tcPr>
          <w:p w:rsidR="0053526C" w:rsidRDefault="00BC6101">
            <w:pPr>
              <w:keepNext/>
              <w:keepLines/>
              <w:spacing w:after="0" w:line="240" w:lineRule="auto"/>
              <w:jc w:val="right"/>
            </w:pPr>
            <w:r>
              <w:rPr>
                <w:sz w:val="18"/>
              </w:rPr>
              <w:t>10.035,80</w:t>
            </w:r>
          </w:p>
        </w:tc>
        <w:tc>
          <w:tcPr>
            <w:tcW w:w="1860" w:type="dxa"/>
            <w:tcMar>
              <w:top w:w="0" w:type="dxa"/>
              <w:bottom w:w="0" w:type="dxa"/>
            </w:tcMar>
            <w:vAlign w:val="center"/>
          </w:tcPr>
          <w:p w:rsidR="0053526C" w:rsidRDefault="00BC6101">
            <w:pPr>
              <w:keepNext/>
              <w:keepLines/>
              <w:spacing w:after="0" w:line="240" w:lineRule="auto"/>
              <w:jc w:val="right"/>
            </w:pPr>
            <w:r>
              <w:rPr>
                <w:sz w:val="18"/>
              </w:rPr>
              <w:t>7.443,85</w:t>
            </w:r>
          </w:p>
        </w:tc>
        <w:tc>
          <w:tcPr>
            <w:tcW w:w="700" w:type="dxa"/>
            <w:tcMar>
              <w:top w:w="0" w:type="dxa"/>
              <w:bottom w:w="0" w:type="dxa"/>
            </w:tcMar>
            <w:vAlign w:val="center"/>
          </w:tcPr>
          <w:p w:rsidR="0053526C" w:rsidRDefault="00BC6101">
            <w:pPr>
              <w:keepNext/>
              <w:keepLines/>
              <w:spacing w:after="0" w:line="240" w:lineRule="auto"/>
              <w:jc w:val="right"/>
            </w:pPr>
            <w:r>
              <w:rPr>
                <w:sz w:val="18"/>
              </w:rPr>
              <w:t>74,2</w:t>
            </w:r>
          </w:p>
        </w:tc>
      </w:tr>
    </w:tbl>
    <w:p w:rsidR="0053526C" w:rsidRDefault="0053526C">
      <w:pPr>
        <w:spacing w:after="0"/>
      </w:pPr>
    </w:p>
    <w:p w:rsidR="0053526C" w:rsidRDefault="00BC6101">
      <w:r>
        <w:t>U ostale nespomenute prihode knjižene su uplate učenika za izlete i terensku nastavu u iznosu od 2.925,60  eura, prihod od sufinanciranja roditelja za troškove produženog boravka u iznosu od 3.180,00 eura,  uplate Županijskog sportskog saveza za troškove ljetnih sportskih praznika i nabavu opreme u  iznosu od 1.298,25 eura, te uplata Crvenog križa od akcije ,, Solidarnost na djelu '' u iznosu od 40,00 eura. Prihodi za terensku nastavu i izlete manji su u odnosu na proteklo razdoblje iz razloga što su od 01. 09. 2025. godine izleti i terenske nastave ugovarani sa putničkim agencija te su roditelji uplaćivali troškove izleta i terenske nastave na račune putničkih agencija.</w:t>
      </w:r>
    </w:p>
    <w:p w:rsidR="0053526C" w:rsidRDefault="00BC6101">
      <w:r>
        <w:t> </w:t>
      </w:r>
    </w:p>
    <w:p w:rsidR="0053526C" w:rsidRDefault="0053526C"/>
    <w:p w:rsidR="0053526C" w:rsidRDefault="00BC6101">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661</w:t>
            </w:r>
          </w:p>
        </w:tc>
        <w:tc>
          <w:tcPr>
            <w:tcW w:w="3180" w:type="dxa"/>
            <w:tcMar>
              <w:top w:w="0" w:type="dxa"/>
              <w:bottom w:w="0" w:type="dxa"/>
            </w:tcMar>
            <w:vAlign w:val="center"/>
          </w:tcPr>
          <w:p w:rsidR="0053526C" w:rsidRDefault="00BC6101">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rsidR="0053526C" w:rsidRDefault="00BC6101">
            <w:pPr>
              <w:keepNext/>
              <w:keepLines/>
              <w:spacing w:after="0" w:line="240" w:lineRule="auto"/>
            </w:pPr>
            <w:r>
              <w:rPr>
                <w:sz w:val="18"/>
              </w:rPr>
              <w:t>661</w:t>
            </w:r>
          </w:p>
        </w:tc>
        <w:tc>
          <w:tcPr>
            <w:tcW w:w="1860" w:type="dxa"/>
            <w:tcMar>
              <w:top w:w="0" w:type="dxa"/>
              <w:bottom w:w="0" w:type="dxa"/>
            </w:tcMar>
            <w:vAlign w:val="center"/>
          </w:tcPr>
          <w:p w:rsidR="0053526C" w:rsidRDefault="00BC6101">
            <w:pPr>
              <w:keepNext/>
              <w:keepLines/>
              <w:spacing w:after="0" w:line="240" w:lineRule="auto"/>
              <w:jc w:val="right"/>
            </w:pPr>
            <w:r>
              <w:rPr>
                <w:sz w:val="18"/>
              </w:rPr>
              <w:t>3.138,58</w:t>
            </w:r>
          </w:p>
        </w:tc>
        <w:tc>
          <w:tcPr>
            <w:tcW w:w="1860" w:type="dxa"/>
            <w:tcMar>
              <w:top w:w="0" w:type="dxa"/>
              <w:bottom w:w="0" w:type="dxa"/>
            </w:tcMar>
            <w:vAlign w:val="center"/>
          </w:tcPr>
          <w:p w:rsidR="0053526C" w:rsidRDefault="00BC6101">
            <w:pPr>
              <w:keepNext/>
              <w:keepLines/>
              <w:spacing w:after="0" w:line="240" w:lineRule="auto"/>
              <w:jc w:val="right"/>
            </w:pPr>
            <w:r>
              <w:rPr>
                <w:sz w:val="18"/>
              </w:rPr>
              <w:t>2.319,61</w:t>
            </w:r>
          </w:p>
        </w:tc>
        <w:tc>
          <w:tcPr>
            <w:tcW w:w="700" w:type="dxa"/>
            <w:tcMar>
              <w:top w:w="0" w:type="dxa"/>
              <w:bottom w:w="0" w:type="dxa"/>
            </w:tcMar>
            <w:vAlign w:val="center"/>
          </w:tcPr>
          <w:p w:rsidR="0053526C" w:rsidRDefault="00BC6101">
            <w:pPr>
              <w:keepNext/>
              <w:keepLines/>
              <w:spacing w:after="0" w:line="240" w:lineRule="auto"/>
              <w:jc w:val="right"/>
            </w:pPr>
            <w:r>
              <w:rPr>
                <w:sz w:val="18"/>
              </w:rPr>
              <w:t>73,9</w:t>
            </w:r>
          </w:p>
        </w:tc>
      </w:tr>
    </w:tbl>
    <w:p w:rsidR="0053526C" w:rsidRDefault="0053526C">
      <w:pPr>
        <w:spacing w:after="0"/>
      </w:pPr>
    </w:p>
    <w:p w:rsidR="0053526C" w:rsidRDefault="00BC6101">
      <w:r>
        <w:t>U prihode od prodaje proizvoda i pruženih usluga u iznosu od 2319,61 eura uvršteni su prihodi od prodaje proizvoda učeničke zadruge u iznosu od 924,61 eura, prihodi od najma stana u iznosu od 480 eura, prihodi od najma dvorane  u iznosu od 890,00 eura te prihodi od prodaje starog papira u iznosu od 25,00 eura. Prihodi od prodaje proizvoda i pruženih usluga manji su u odnosu na isto razdoblje protekle godine jer se sportska dvorana ne iznajmljuje zbog radova na dogradnji škole u skladu s odlukom školskog odbora.</w:t>
      </w:r>
    </w:p>
    <w:p w:rsidR="0053526C" w:rsidRDefault="00BC6101">
      <w:r>
        <w:t> </w:t>
      </w:r>
    </w:p>
    <w:p w:rsidR="0053526C" w:rsidRDefault="00BC6101">
      <w:r>
        <w:t> </w:t>
      </w:r>
    </w:p>
    <w:p w:rsidR="0053526C" w:rsidRDefault="0053526C"/>
    <w:p w:rsidR="0053526C" w:rsidRDefault="00BC6101">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6631</w:t>
            </w:r>
          </w:p>
        </w:tc>
        <w:tc>
          <w:tcPr>
            <w:tcW w:w="3180" w:type="dxa"/>
            <w:tcMar>
              <w:top w:w="0" w:type="dxa"/>
              <w:bottom w:w="0" w:type="dxa"/>
            </w:tcMar>
            <w:vAlign w:val="center"/>
          </w:tcPr>
          <w:p w:rsidR="0053526C" w:rsidRDefault="00BC6101">
            <w:pPr>
              <w:keepNext/>
              <w:keepLines/>
              <w:spacing w:after="0" w:line="240" w:lineRule="auto"/>
            </w:pPr>
            <w:r>
              <w:rPr>
                <w:sz w:val="18"/>
              </w:rPr>
              <w:t>Tekuće donacije</w:t>
            </w:r>
          </w:p>
        </w:tc>
        <w:tc>
          <w:tcPr>
            <w:tcW w:w="700" w:type="dxa"/>
            <w:tcMar>
              <w:top w:w="0" w:type="dxa"/>
              <w:bottom w:w="0" w:type="dxa"/>
            </w:tcMar>
            <w:vAlign w:val="center"/>
          </w:tcPr>
          <w:p w:rsidR="0053526C" w:rsidRDefault="00BC6101">
            <w:pPr>
              <w:keepNext/>
              <w:keepLines/>
              <w:spacing w:after="0" w:line="240" w:lineRule="auto"/>
            </w:pPr>
            <w:r>
              <w:rPr>
                <w:sz w:val="18"/>
              </w:rPr>
              <w:t>6631</w:t>
            </w:r>
          </w:p>
        </w:tc>
        <w:tc>
          <w:tcPr>
            <w:tcW w:w="1860" w:type="dxa"/>
            <w:tcMar>
              <w:top w:w="0" w:type="dxa"/>
              <w:bottom w:w="0" w:type="dxa"/>
            </w:tcMar>
            <w:vAlign w:val="center"/>
          </w:tcPr>
          <w:p w:rsidR="0053526C" w:rsidRDefault="00BC6101">
            <w:pPr>
              <w:keepNext/>
              <w:keepLines/>
              <w:spacing w:after="0" w:line="240" w:lineRule="auto"/>
              <w:jc w:val="right"/>
            </w:pPr>
            <w:r>
              <w:rPr>
                <w:sz w:val="18"/>
              </w:rPr>
              <w:t>1.493,00</w:t>
            </w:r>
          </w:p>
        </w:tc>
        <w:tc>
          <w:tcPr>
            <w:tcW w:w="1860" w:type="dxa"/>
            <w:tcMar>
              <w:top w:w="0" w:type="dxa"/>
              <w:bottom w:w="0" w:type="dxa"/>
            </w:tcMar>
            <w:vAlign w:val="center"/>
          </w:tcPr>
          <w:p w:rsidR="0053526C" w:rsidRDefault="00BC6101">
            <w:pPr>
              <w:keepNext/>
              <w:keepLines/>
              <w:spacing w:after="0" w:line="240" w:lineRule="auto"/>
              <w:jc w:val="right"/>
            </w:pPr>
            <w:r>
              <w:rPr>
                <w:sz w:val="18"/>
              </w:rPr>
              <w:t>680,00</w:t>
            </w:r>
          </w:p>
        </w:tc>
        <w:tc>
          <w:tcPr>
            <w:tcW w:w="700" w:type="dxa"/>
            <w:tcMar>
              <w:top w:w="0" w:type="dxa"/>
              <w:bottom w:w="0" w:type="dxa"/>
            </w:tcMar>
            <w:vAlign w:val="center"/>
          </w:tcPr>
          <w:p w:rsidR="0053526C" w:rsidRDefault="00BC6101">
            <w:pPr>
              <w:keepNext/>
              <w:keepLines/>
              <w:spacing w:after="0" w:line="240" w:lineRule="auto"/>
              <w:jc w:val="right"/>
            </w:pPr>
            <w:r>
              <w:rPr>
                <w:sz w:val="18"/>
              </w:rPr>
              <w:t>45,5</w:t>
            </w:r>
          </w:p>
        </w:tc>
      </w:tr>
    </w:tbl>
    <w:p w:rsidR="0053526C" w:rsidRDefault="0053526C">
      <w:pPr>
        <w:spacing w:after="0"/>
      </w:pPr>
    </w:p>
    <w:p w:rsidR="0053526C" w:rsidRDefault="00BC6101">
      <w:r>
        <w:t xml:space="preserve">U  istom razdoblju protekle godine zaprimili  smo tekuće donacije sitnog inventara i potrošnog materijala  mreže udruga </w:t>
      </w:r>
      <w:proofErr w:type="spellStart"/>
      <w:r>
        <w:t>Zagor</w:t>
      </w:r>
      <w:proofErr w:type="spellEnd"/>
      <w:r>
        <w:t xml:space="preserve"> u iznosu od 637,05 eura, te donaciju  udruge </w:t>
      </w:r>
      <w:proofErr w:type="spellStart"/>
      <w:r>
        <w:t>Rotary</w:t>
      </w:r>
      <w:proofErr w:type="spellEnd"/>
      <w:r>
        <w:t xml:space="preserve"> International Distrikt 1913, </w:t>
      </w:r>
      <w:proofErr w:type="spellStart"/>
      <w:r>
        <w:t>mikrobitova</w:t>
      </w:r>
      <w:proofErr w:type="spellEnd"/>
      <w:r>
        <w:t xml:space="preserve"> u iznosu od 495,95 eura, te donaciju za troškove maturalnog putovanja u iznosu od 360,00 eura. Ove godine zaprimili smo tekuću donaciju u iznosu od 180,00 eura za financiranje troškova maturalnog putovanja učenika sedmog razreda, te tekuće donacije za financiranje troškova izvannastavnih aktivnosti u iznosu od 500,00 eura.</w:t>
      </w:r>
    </w:p>
    <w:p w:rsidR="0053526C" w:rsidRDefault="00BC6101">
      <w:r>
        <w:t> </w:t>
      </w:r>
    </w:p>
    <w:p w:rsidR="0053526C" w:rsidRDefault="0053526C"/>
    <w:p w:rsidR="0053526C" w:rsidRDefault="00BC6101">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6632</w:t>
            </w:r>
          </w:p>
        </w:tc>
        <w:tc>
          <w:tcPr>
            <w:tcW w:w="3180" w:type="dxa"/>
            <w:tcMar>
              <w:top w:w="0" w:type="dxa"/>
              <w:bottom w:w="0" w:type="dxa"/>
            </w:tcMar>
            <w:vAlign w:val="center"/>
          </w:tcPr>
          <w:p w:rsidR="0053526C" w:rsidRDefault="00BC6101">
            <w:pPr>
              <w:keepNext/>
              <w:keepLines/>
              <w:spacing w:after="0" w:line="240" w:lineRule="auto"/>
            </w:pPr>
            <w:r>
              <w:rPr>
                <w:sz w:val="18"/>
              </w:rPr>
              <w:t>Kapitalne donacije</w:t>
            </w:r>
          </w:p>
        </w:tc>
        <w:tc>
          <w:tcPr>
            <w:tcW w:w="700" w:type="dxa"/>
            <w:tcMar>
              <w:top w:w="0" w:type="dxa"/>
              <w:bottom w:w="0" w:type="dxa"/>
            </w:tcMar>
            <w:vAlign w:val="center"/>
          </w:tcPr>
          <w:p w:rsidR="0053526C" w:rsidRDefault="00BC6101">
            <w:pPr>
              <w:keepNext/>
              <w:keepLines/>
              <w:spacing w:after="0" w:line="240" w:lineRule="auto"/>
            </w:pPr>
            <w:r>
              <w:rPr>
                <w:sz w:val="18"/>
              </w:rPr>
              <w:t>6632</w:t>
            </w:r>
          </w:p>
        </w:tc>
        <w:tc>
          <w:tcPr>
            <w:tcW w:w="1860" w:type="dxa"/>
            <w:tcMar>
              <w:top w:w="0" w:type="dxa"/>
              <w:bottom w:w="0" w:type="dxa"/>
            </w:tcMar>
            <w:vAlign w:val="center"/>
          </w:tcPr>
          <w:p w:rsidR="0053526C" w:rsidRDefault="00BC6101">
            <w:pPr>
              <w:keepNext/>
              <w:keepLines/>
              <w:spacing w:after="0" w:line="240" w:lineRule="auto"/>
              <w:jc w:val="right"/>
            </w:pPr>
            <w:r>
              <w:rPr>
                <w:sz w:val="18"/>
              </w:rPr>
              <w:t>1.241,00</w:t>
            </w:r>
          </w:p>
        </w:tc>
        <w:tc>
          <w:tcPr>
            <w:tcW w:w="1860" w:type="dxa"/>
            <w:tcMar>
              <w:top w:w="0" w:type="dxa"/>
              <w:bottom w:w="0" w:type="dxa"/>
            </w:tcMar>
            <w:vAlign w:val="center"/>
          </w:tcPr>
          <w:p w:rsidR="0053526C" w:rsidRDefault="00BC6101">
            <w:pPr>
              <w:keepNext/>
              <w:keepLines/>
              <w:spacing w:after="0" w:line="240" w:lineRule="auto"/>
              <w:jc w:val="right"/>
            </w:pPr>
            <w:r>
              <w:rPr>
                <w:sz w:val="18"/>
              </w:rPr>
              <w:t>3.175,00</w:t>
            </w:r>
          </w:p>
        </w:tc>
        <w:tc>
          <w:tcPr>
            <w:tcW w:w="700" w:type="dxa"/>
            <w:tcMar>
              <w:top w:w="0" w:type="dxa"/>
              <w:bottom w:w="0" w:type="dxa"/>
            </w:tcMar>
            <w:vAlign w:val="center"/>
          </w:tcPr>
          <w:p w:rsidR="0053526C" w:rsidRDefault="00BC6101">
            <w:pPr>
              <w:keepNext/>
              <w:keepLines/>
              <w:spacing w:after="0" w:line="240" w:lineRule="auto"/>
              <w:jc w:val="right"/>
            </w:pPr>
            <w:r>
              <w:rPr>
                <w:sz w:val="18"/>
              </w:rPr>
              <w:t>255,8</w:t>
            </w:r>
          </w:p>
        </w:tc>
      </w:tr>
    </w:tbl>
    <w:p w:rsidR="0053526C" w:rsidRDefault="0053526C">
      <w:pPr>
        <w:spacing w:after="0"/>
      </w:pPr>
    </w:p>
    <w:p w:rsidR="0053526C" w:rsidRDefault="00BC6101">
      <w:r>
        <w:t>U razdoblju 01-12 2024  zaprimili smo donaciju knjiga u iznosu od 1.241,00 eura, dok smo u istom razdoblju ove godine zaprimili donaciju rabljene opreme Privredne banke Zagreb u procijenjenom iznosu od 3.175,00 eura.</w:t>
      </w:r>
    </w:p>
    <w:p w:rsidR="0053526C" w:rsidRDefault="0053526C"/>
    <w:p w:rsidR="0053526C" w:rsidRDefault="00BC6101">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671</w:t>
            </w:r>
          </w:p>
        </w:tc>
        <w:tc>
          <w:tcPr>
            <w:tcW w:w="3180" w:type="dxa"/>
            <w:tcMar>
              <w:top w:w="0" w:type="dxa"/>
              <w:bottom w:w="0" w:type="dxa"/>
            </w:tcMar>
            <w:vAlign w:val="center"/>
          </w:tcPr>
          <w:p w:rsidR="0053526C" w:rsidRDefault="00BC6101">
            <w:pPr>
              <w:keepNext/>
              <w:keepLines/>
              <w:spacing w:after="0" w:line="240" w:lineRule="auto"/>
            </w:pPr>
            <w:r>
              <w:rPr>
                <w:sz w:val="18"/>
              </w:rPr>
              <w:t>Prihodi iz nadležnog proračuna za financiranje redovne djelatnosti proračunskih korisnika (šifre 6711 do 6714)</w:t>
            </w:r>
          </w:p>
        </w:tc>
        <w:tc>
          <w:tcPr>
            <w:tcW w:w="700" w:type="dxa"/>
            <w:tcMar>
              <w:top w:w="0" w:type="dxa"/>
              <w:bottom w:w="0" w:type="dxa"/>
            </w:tcMar>
            <w:vAlign w:val="center"/>
          </w:tcPr>
          <w:p w:rsidR="0053526C" w:rsidRDefault="00BC6101">
            <w:pPr>
              <w:keepNext/>
              <w:keepLines/>
              <w:spacing w:after="0" w:line="240" w:lineRule="auto"/>
            </w:pPr>
            <w:r>
              <w:rPr>
                <w:sz w:val="18"/>
              </w:rPr>
              <w:t>671</w:t>
            </w:r>
          </w:p>
        </w:tc>
        <w:tc>
          <w:tcPr>
            <w:tcW w:w="1860" w:type="dxa"/>
            <w:tcMar>
              <w:top w:w="0" w:type="dxa"/>
              <w:bottom w:w="0" w:type="dxa"/>
            </w:tcMar>
            <w:vAlign w:val="center"/>
          </w:tcPr>
          <w:p w:rsidR="0053526C" w:rsidRDefault="00BC6101">
            <w:pPr>
              <w:keepNext/>
              <w:keepLines/>
              <w:spacing w:after="0" w:line="240" w:lineRule="auto"/>
              <w:jc w:val="right"/>
            </w:pPr>
            <w:r>
              <w:rPr>
                <w:sz w:val="18"/>
              </w:rPr>
              <w:t>106.301,67</w:t>
            </w:r>
          </w:p>
        </w:tc>
        <w:tc>
          <w:tcPr>
            <w:tcW w:w="1860" w:type="dxa"/>
            <w:tcMar>
              <w:top w:w="0" w:type="dxa"/>
              <w:bottom w:w="0" w:type="dxa"/>
            </w:tcMar>
            <w:vAlign w:val="center"/>
          </w:tcPr>
          <w:p w:rsidR="0053526C" w:rsidRDefault="00BC6101">
            <w:pPr>
              <w:keepNext/>
              <w:keepLines/>
              <w:spacing w:after="0" w:line="240" w:lineRule="auto"/>
              <w:jc w:val="right"/>
            </w:pPr>
            <w:r>
              <w:rPr>
                <w:sz w:val="18"/>
              </w:rPr>
              <w:t>138.442,82</w:t>
            </w:r>
          </w:p>
        </w:tc>
        <w:tc>
          <w:tcPr>
            <w:tcW w:w="700" w:type="dxa"/>
            <w:tcMar>
              <w:top w:w="0" w:type="dxa"/>
              <w:bottom w:w="0" w:type="dxa"/>
            </w:tcMar>
            <w:vAlign w:val="center"/>
          </w:tcPr>
          <w:p w:rsidR="0053526C" w:rsidRDefault="00BC6101">
            <w:pPr>
              <w:keepNext/>
              <w:keepLines/>
              <w:spacing w:after="0" w:line="240" w:lineRule="auto"/>
              <w:jc w:val="right"/>
            </w:pPr>
            <w:r>
              <w:rPr>
                <w:sz w:val="18"/>
              </w:rPr>
              <w:t>130,2</w:t>
            </w:r>
          </w:p>
        </w:tc>
      </w:tr>
    </w:tbl>
    <w:p w:rsidR="0053526C" w:rsidRDefault="0053526C">
      <w:pPr>
        <w:spacing w:after="0"/>
      </w:pPr>
    </w:p>
    <w:p w:rsidR="0053526C" w:rsidRDefault="00BC6101">
      <w:r>
        <w:t>U prihode iz proračuna za financiranje redovne djelatnosti u iznosu od 138.442,82 eura uvršteni su prihodi iz proračuna Krapinsko-zagorske županije za financiranje rashoda poslovanja iz decentralizacije u iznosu od 69.676,45 eura i prihodi iz izvornih županijskih sredstava u iznosu od 68.766,37 eura.</w:t>
      </w:r>
    </w:p>
    <w:p w:rsidR="0053526C" w:rsidRDefault="0053526C"/>
    <w:p w:rsidR="0053526C" w:rsidRDefault="00BC6101">
      <w:pPr>
        <w:keepNext/>
        <w:spacing w:line="240" w:lineRule="auto"/>
        <w:jc w:val="center"/>
      </w:pPr>
      <w:r>
        <w:rPr>
          <w:sz w:val="28"/>
        </w:rPr>
        <w:lastRenderedPageBreak/>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683</w:t>
            </w:r>
          </w:p>
        </w:tc>
        <w:tc>
          <w:tcPr>
            <w:tcW w:w="3180" w:type="dxa"/>
            <w:tcMar>
              <w:top w:w="0" w:type="dxa"/>
              <w:bottom w:w="0" w:type="dxa"/>
            </w:tcMar>
            <w:vAlign w:val="center"/>
          </w:tcPr>
          <w:p w:rsidR="0053526C" w:rsidRDefault="00BC6101">
            <w:pPr>
              <w:keepNext/>
              <w:keepLines/>
              <w:spacing w:after="0" w:line="240" w:lineRule="auto"/>
            </w:pPr>
            <w:r>
              <w:rPr>
                <w:sz w:val="18"/>
              </w:rPr>
              <w:t>Ostali prihodi</w:t>
            </w:r>
          </w:p>
        </w:tc>
        <w:tc>
          <w:tcPr>
            <w:tcW w:w="700" w:type="dxa"/>
            <w:tcMar>
              <w:top w:w="0" w:type="dxa"/>
              <w:bottom w:w="0" w:type="dxa"/>
            </w:tcMar>
            <w:vAlign w:val="center"/>
          </w:tcPr>
          <w:p w:rsidR="0053526C" w:rsidRDefault="00BC6101">
            <w:pPr>
              <w:keepNext/>
              <w:keepLines/>
              <w:spacing w:after="0" w:line="240" w:lineRule="auto"/>
            </w:pPr>
            <w:r>
              <w:rPr>
                <w:sz w:val="18"/>
              </w:rPr>
              <w:t>683</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300,00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U ostalim nespomenutim prihodima vodimo prihode od nagrade za sudjelovanje u projektu FER-a u iznosu od 300,00 eura.</w:t>
      </w:r>
    </w:p>
    <w:p w:rsidR="0053526C" w:rsidRDefault="0053526C"/>
    <w:p w:rsidR="0053526C" w:rsidRDefault="00BC6101">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31</w:t>
            </w:r>
          </w:p>
        </w:tc>
        <w:tc>
          <w:tcPr>
            <w:tcW w:w="3180" w:type="dxa"/>
            <w:tcMar>
              <w:top w:w="0" w:type="dxa"/>
              <w:bottom w:w="0" w:type="dxa"/>
            </w:tcMar>
            <w:vAlign w:val="center"/>
          </w:tcPr>
          <w:p w:rsidR="0053526C" w:rsidRDefault="00BC6101">
            <w:pPr>
              <w:keepNext/>
              <w:keepLines/>
              <w:spacing w:after="0" w:line="240" w:lineRule="auto"/>
            </w:pPr>
            <w:r>
              <w:rPr>
                <w:sz w:val="18"/>
              </w:rPr>
              <w:t>Rashodi za zaposlene (šifre 311+312+313)</w:t>
            </w:r>
          </w:p>
        </w:tc>
        <w:tc>
          <w:tcPr>
            <w:tcW w:w="700" w:type="dxa"/>
            <w:tcMar>
              <w:top w:w="0" w:type="dxa"/>
              <w:bottom w:w="0" w:type="dxa"/>
            </w:tcMar>
            <w:vAlign w:val="center"/>
          </w:tcPr>
          <w:p w:rsidR="0053526C" w:rsidRDefault="00BC6101">
            <w:pPr>
              <w:keepNext/>
              <w:keepLines/>
              <w:spacing w:after="0" w:line="240" w:lineRule="auto"/>
            </w:pPr>
            <w:r>
              <w:rPr>
                <w:sz w:val="18"/>
              </w:rPr>
              <w:t>31</w:t>
            </w:r>
          </w:p>
        </w:tc>
        <w:tc>
          <w:tcPr>
            <w:tcW w:w="1860" w:type="dxa"/>
            <w:tcMar>
              <w:top w:w="0" w:type="dxa"/>
              <w:bottom w:w="0" w:type="dxa"/>
            </w:tcMar>
            <w:vAlign w:val="center"/>
          </w:tcPr>
          <w:p w:rsidR="0053526C" w:rsidRDefault="00BC6101">
            <w:pPr>
              <w:keepNext/>
              <w:keepLines/>
              <w:spacing w:after="0" w:line="240" w:lineRule="auto"/>
              <w:jc w:val="right"/>
            </w:pPr>
            <w:r>
              <w:rPr>
                <w:sz w:val="18"/>
              </w:rPr>
              <w:t>1.031.426,42</w:t>
            </w:r>
          </w:p>
        </w:tc>
        <w:tc>
          <w:tcPr>
            <w:tcW w:w="1860" w:type="dxa"/>
            <w:tcMar>
              <w:top w:w="0" w:type="dxa"/>
              <w:bottom w:w="0" w:type="dxa"/>
            </w:tcMar>
            <w:vAlign w:val="center"/>
          </w:tcPr>
          <w:p w:rsidR="0053526C" w:rsidRDefault="00BC6101">
            <w:pPr>
              <w:keepNext/>
              <w:keepLines/>
              <w:spacing w:after="0" w:line="240" w:lineRule="auto"/>
              <w:jc w:val="right"/>
            </w:pPr>
            <w:r>
              <w:rPr>
                <w:sz w:val="18"/>
              </w:rPr>
              <w:t>1.267.310,73</w:t>
            </w:r>
          </w:p>
        </w:tc>
        <w:tc>
          <w:tcPr>
            <w:tcW w:w="700" w:type="dxa"/>
            <w:tcMar>
              <w:top w:w="0" w:type="dxa"/>
              <w:bottom w:w="0" w:type="dxa"/>
            </w:tcMar>
            <w:vAlign w:val="center"/>
          </w:tcPr>
          <w:p w:rsidR="0053526C" w:rsidRDefault="00BC6101">
            <w:pPr>
              <w:keepNext/>
              <w:keepLines/>
              <w:spacing w:after="0" w:line="240" w:lineRule="auto"/>
              <w:jc w:val="right"/>
            </w:pPr>
            <w:r>
              <w:rPr>
                <w:sz w:val="18"/>
              </w:rPr>
              <w:t>122,9</w:t>
            </w:r>
          </w:p>
        </w:tc>
      </w:tr>
    </w:tbl>
    <w:p w:rsidR="0053526C" w:rsidRDefault="0053526C">
      <w:pPr>
        <w:spacing w:after="0"/>
      </w:pPr>
    </w:p>
    <w:p w:rsidR="0053526C" w:rsidRDefault="00BC6101">
      <w:r>
        <w:t>Rashodi za zaposlene znatno su veći u odnosu na isto razdoblje protekle godine iz razloga što je u trošak uknjižena plaća za 12-2025., dok smo u proteklom razdoblju plaću za 12. mjesec evidentirali na skupini 19 (aktivna vremenska razgraničenja), te zbog povećanja plaća i materijalnih prava zaposlenika.</w:t>
      </w:r>
    </w:p>
    <w:p w:rsidR="0053526C" w:rsidRDefault="0053526C"/>
    <w:p w:rsidR="0053526C" w:rsidRDefault="00BC6101">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3113</w:t>
            </w:r>
          </w:p>
        </w:tc>
        <w:tc>
          <w:tcPr>
            <w:tcW w:w="3180" w:type="dxa"/>
            <w:tcMar>
              <w:top w:w="0" w:type="dxa"/>
              <w:bottom w:w="0" w:type="dxa"/>
            </w:tcMar>
            <w:vAlign w:val="center"/>
          </w:tcPr>
          <w:p w:rsidR="0053526C" w:rsidRDefault="00BC6101">
            <w:pPr>
              <w:keepNext/>
              <w:keepLines/>
              <w:spacing w:after="0" w:line="240" w:lineRule="auto"/>
            </w:pPr>
            <w:r>
              <w:rPr>
                <w:sz w:val="18"/>
              </w:rPr>
              <w:t>Plaće za prekovremeni rad</w:t>
            </w:r>
          </w:p>
        </w:tc>
        <w:tc>
          <w:tcPr>
            <w:tcW w:w="700" w:type="dxa"/>
            <w:tcMar>
              <w:top w:w="0" w:type="dxa"/>
              <w:bottom w:w="0" w:type="dxa"/>
            </w:tcMar>
            <w:vAlign w:val="center"/>
          </w:tcPr>
          <w:p w:rsidR="0053526C" w:rsidRDefault="00BC6101">
            <w:pPr>
              <w:keepNext/>
              <w:keepLines/>
              <w:spacing w:after="0" w:line="240" w:lineRule="auto"/>
            </w:pPr>
            <w:r>
              <w:rPr>
                <w:sz w:val="18"/>
              </w:rPr>
              <w:t>3113</w:t>
            </w:r>
          </w:p>
        </w:tc>
        <w:tc>
          <w:tcPr>
            <w:tcW w:w="1860" w:type="dxa"/>
            <w:tcMar>
              <w:top w:w="0" w:type="dxa"/>
              <w:bottom w:w="0" w:type="dxa"/>
            </w:tcMar>
            <w:vAlign w:val="center"/>
          </w:tcPr>
          <w:p w:rsidR="0053526C" w:rsidRDefault="00BC6101">
            <w:pPr>
              <w:keepNext/>
              <w:keepLines/>
              <w:spacing w:after="0" w:line="240" w:lineRule="auto"/>
              <w:jc w:val="right"/>
            </w:pPr>
            <w:r>
              <w:rPr>
                <w:sz w:val="18"/>
              </w:rPr>
              <w:t>12.150,81</w:t>
            </w:r>
          </w:p>
        </w:tc>
        <w:tc>
          <w:tcPr>
            <w:tcW w:w="1860" w:type="dxa"/>
            <w:tcMar>
              <w:top w:w="0" w:type="dxa"/>
              <w:bottom w:w="0" w:type="dxa"/>
            </w:tcMar>
            <w:vAlign w:val="center"/>
          </w:tcPr>
          <w:p w:rsidR="0053526C" w:rsidRDefault="00BC6101">
            <w:pPr>
              <w:keepNext/>
              <w:keepLines/>
              <w:spacing w:after="0" w:line="240" w:lineRule="auto"/>
              <w:jc w:val="right"/>
            </w:pPr>
            <w:r>
              <w:rPr>
                <w:sz w:val="18"/>
              </w:rPr>
              <w:t>24.639,12</w:t>
            </w:r>
          </w:p>
        </w:tc>
        <w:tc>
          <w:tcPr>
            <w:tcW w:w="700" w:type="dxa"/>
            <w:tcMar>
              <w:top w:w="0" w:type="dxa"/>
              <w:bottom w:w="0" w:type="dxa"/>
            </w:tcMar>
            <w:vAlign w:val="center"/>
          </w:tcPr>
          <w:p w:rsidR="0053526C" w:rsidRDefault="00BC6101">
            <w:pPr>
              <w:keepNext/>
              <w:keepLines/>
              <w:spacing w:after="0" w:line="240" w:lineRule="auto"/>
              <w:jc w:val="right"/>
            </w:pPr>
            <w:r>
              <w:rPr>
                <w:sz w:val="18"/>
              </w:rPr>
              <w:t>202,8</w:t>
            </w:r>
          </w:p>
        </w:tc>
      </w:tr>
    </w:tbl>
    <w:p w:rsidR="0053526C" w:rsidRDefault="0053526C">
      <w:pPr>
        <w:spacing w:after="0"/>
      </w:pPr>
    </w:p>
    <w:p w:rsidR="0053526C" w:rsidRDefault="00BC6101">
      <w:r>
        <w:t>Izdaci za prekovremeni rad uvećani su zbog zamjena djelatnika na bolovanju i porodnih dopusta za koje nije odmah moguće pronaći zamjenu odnosno zaposliti drugog djelatnika .</w:t>
      </w:r>
    </w:p>
    <w:p w:rsidR="0053526C" w:rsidRDefault="0053526C"/>
    <w:p w:rsidR="0053526C" w:rsidRDefault="00BC6101">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3221</w:t>
            </w:r>
          </w:p>
        </w:tc>
        <w:tc>
          <w:tcPr>
            <w:tcW w:w="3180" w:type="dxa"/>
            <w:tcMar>
              <w:top w:w="0" w:type="dxa"/>
              <w:bottom w:w="0" w:type="dxa"/>
            </w:tcMar>
            <w:vAlign w:val="center"/>
          </w:tcPr>
          <w:p w:rsidR="0053526C" w:rsidRDefault="00BC6101">
            <w:pPr>
              <w:keepNext/>
              <w:keepLines/>
              <w:spacing w:after="0" w:line="240" w:lineRule="auto"/>
            </w:pPr>
            <w:r>
              <w:rPr>
                <w:sz w:val="18"/>
              </w:rPr>
              <w:t>Uredski materijal i ostali materijalni rashodi</w:t>
            </w:r>
          </w:p>
        </w:tc>
        <w:tc>
          <w:tcPr>
            <w:tcW w:w="700" w:type="dxa"/>
            <w:tcMar>
              <w:top w:w="0" w:type="dxa"/>
              <w:bottom w:w="0" w:type="dxa"/>
            </w:tcMar>
            <w:vAlign w:val="center"/>
          </w:tcPr>
          <w:p w:rsidR="0053526C" w:rsidRDefault="00BC6101">
            <w:pPr>
              <w:keepNext/>
              <w:keepLines/>
              <w:spacing w:after="0" w:line="240" w:lineRule="auto"/>
            </w:pPr>
            <w:r>
              <w:rPr>
                <w:sz w:val="18"/>
              </w:rPr>
              <w:t>3221</w:t>
            </w:r>
          </w:p>
        </w:tc>
        <w:tc>
          <w:tcPr>
            <w:tcW w:w="1860" w:type="dxa"/>
            <w:tcMar>
              <w:top w:w="0" w:type="dxa"/>
              <w:bottom w:w="0" w:type="dxa"/>
            </w:tcMar>
            <w:vAlign w:val="center"/>
          </w:tcPr>
          <w:p w:rsidR="0053526C" w:rsidRDefault="00BC6101">
            <w:pPr>
              <w:keepNext/>
              <w:keepLines/>
              <w:spacing w:after="0" w:line="240" w:lineRule="auto"/>
              <w:jc w:val="right"/>
            </w:pPr>
            <w:r>
              <w:rPr>
                <w:sz w:val="18"/>
              </w:rPr>
              <w:t>11.120,37</w:t>
            </w:r>
          </w:p>
        </w:tc>
        <w:tc>
          <w:tcPr>
            <w:tcW w:w="1860" w:type="dxa"/>
            <w:tcMar>
              <w:top w:w="0" w:type="dxa"/>
              <w:bottom w:w="0" w:type="dxa"/>
            </w:tcMar>
            <w:vAlign w:val="center"/>
          </w:tcPr>
          <w:p w:rsidR="0053526C" w:rsidRDefault="00BC6101">
            <w:pPr>
              <w:keepNext/>
              <w:keepLines/>
              <w:spacing w:after="0" w:line="240" w:lineRule="auto"/>
              <w:jc w:val="right"/>
            </w:pPr>
            <w:r>
              <w:rPr>
                <w:sz w:val="18"/>
              </w:rPr>
              <w:t>17.025,12</w:t>
            </w:r>
          </w:p>
        </w:tc>
        <w:tc>
          <w:tcPr>
            <w:tcW w:w="700" w:type="dxa"/>
            <w:tcMar>
              <w:top w:w="0" w:type="dxa"/>
              <w:bottom w:w="0" w:type="dxa"/>
            </w:tcMar>
            <w:vAlign w:val="center"/>
          </w:tcPr>
          <w:p w:rsidR="0053526C" w:rsidRDefault="00BC6101">
            <w:pPr>
              <w:keepNext/>
              <w:keepLines/>
              <w:spacing w:after="0" w:line="240" w:lineRule="auto"/>
              <w:jc w:val="right"/>
            </w:pPr>
            <w:r>
              <w:rPr>
                <w:sz w:val="18"/>
              </w:rPr>
              <w:t>153,1</w:t>
            </w:r>
          </w:p>
        </w:tc>
      </w:tr>
    </w:tbl>
    <w:p w:rsidR="0053526C" w:rsidRDefault="0053526C">
      <w:pPr>
        <w:spacing w:after="0"/>
      </w:pPr>
    </w:p>
    <w:p w:rsidR="0053526C" w:rsidRDefault="00BC6101">
      <w:r>
        <w:t>Troškovi uredskog materijala i ostalih materijalnih rashoda povećani  su na isto razdoblje protekle godine jer smo u razdoblju od 01-12 2025. godine nabavljali  materijal iz namjenskih sredstava za projekte.</w:t>
      </w:r>
    </w:p>
    <w:p w:rsidR="0053526C" w:rsidRDefault="0053526C"/>
    <w:p w:rsidR="0053526C" w:rsidRDefault="00BC6101">
      <w:pPr>
        <w:keepNext/>
        <w:spacing w:line="240" w:lineRule="auto"/>
        <w:jc w:val="center"/>
      </w:pPr>
      <w:r>
        <w:rPr>
          <w:sz w:val="28"/>
        </w:rPr>
        <w:lastRenderedPageBreak/>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3225</w:t>
            </w:r>
          </w:p>
        </w:tc>
        <w:tc>
          <w:tcPr>
            <w:tcW w:w="3180" w:type="dxa"/>
            <w:tcMar>
              <w:top w:w="0" w:type="dxa"/>
              <w:bottom w:w="0" w:type="dxa"/>
            </w:tcMar>
            <w:vAlign w:val="center"/>
          </w:tcPr>
          <w:p w:rsidR="0053526C" w:rsidRDefault="00BC6101">
            <w:pPr>
              <w:keepNext/>
              <w:keepLines/>
              <w:spacing w:after="0" w:line="240" w:lineRule="auto"/>
            </w:pPr>
            <w:r>
              <w:rPr>
                <w:sz w:val="18"/>
              </w:rPr>
              <w:t xml:space="preserve">Sitni inventar i </w:t>
            </w:r>
            <w:proofErr w:type="spellStart"/>
            <w:r>
              <w:rPr>
                <w:sz w:val="18"/>
              </w:rPr>
              <w:t>autogume</w:t>
            </w:r>
            <w:proofErr w:type="spellEnd"/>
          </w:p>
        </w:tc>
        <w:tc>
          <w:tcPr>
            <w:tcW w:w="700" w:type="dxa"/>
            <w:tcMar>
              <w:top w:w="0" w:type="dxa"/>
              <w:bottom w:w="0" w:type="dxa"/>
            </w:tcMar>
            <w:vAlign w:val="center"/>
          </w:tcPr>
          <w:p w:rsidR="0053526C" w:rsidRDefault="00BC6101">
            <w:pPr>
              <w:keepNext/>
              <w:keepLines/>
              <w:spacing w:after="0" w:line="240" w:lineRule="auto"/>
            </w:pPr>
            <w:r>
              <w:rPr>
                <w:sz w:val="18"/>
              </w:rPr>
              <w:t>3225</w:t>
            </w:r>
          </w:p>
        </w:tc>
        <w:tc>
          <w:tcPr>
            <w:tcW w:w="1860" w:type="dxa"/>
            <w:tcMar>
              <w:top w:w="0" w:type="dxa"/>
              <w:bottom w:w="0" w:type="dxa"/>
            </w:tcMar>
            <w:vAlign w:val="center"/>
          </w:tcPr>
          <w:p w:rsidR="0053526C" w:rsidRDefault="00BC6101">
            <w:pPr>
              <w:keepNext/>
              <w:keepLines/>
              <w:spacing w:after="0" w:line="240" w:lineRule="auto"/>
              <w:jc w:val="right"/>
            </w:pPr>
            <w:r>
              <w:rPr>
                <w:sz w:val="18"/>
              </w:rPr>
              <w:t>1.571,58</w:t>
            </w:r>
          </w:p>
        </w:tc>
        <w:tc>
          <w:tcPr>
            <w:tcW w:w="1860" w:type="dxa"/>
            <w:tcMar>
              <w:top w:w="0" w:type="dxa"/>
              <w:bottom w:w="0" w:type="dxa"/>
            </w:tcMar>
            <w:vAlign w:val="center"/>
          </w:tcPr>
          <w:p w:rsidR="0053526C" w:rsidRDefault="00BC6101">
            <w:pPr>
              <w:keepNext/>
              <w:keepLines/>
              <w:spacing w:after="0" w:line="240" w:lineRule="auto"/>
              <w:jc w:val="right"/>
            </w:pPr>
            <w:r>
              <w:rPr>
                <w:sz w:val="18"/>
              </w:rPr>
              <w:t>3.418,05</w:t>
            </w:r>
          </w:p>
        </w:tc>
        <w:tc>
          <w:tcPr>
            <w:tcW w:w="700" w:type="dxa"/>
            <w:tcMar>
              <w:top w:w="0" w:type="dxa"/>
              <w:bottom w:w="0" w:type="dxa"/>
            </w:tcMar>
            <w:vAlign w:val="center"/>
          </w:tcPr>
          <w:p w:rsidR="0053526C" w:rsidRDefault="00BC6101">
            <w:pPr>
              <w:keepNext/>
              <w:keepLines/>
              <w:spacing w:after="0" w:line="240" w:lineRule="auto"/>
              <w:jc w:val="right"/>
            </w:pPr>
            <w:r>
              <w:rPr>
                <w:sz w:val="18"/>
              </w:rPr>
              <w:t>217,5</w:t>
            </w:r>
          </w:p>
        </w:tc>
      </w:tr>
    </w:tbl>
    <w:p w:rsidR="0053526C" w:rsidRDefault="0053526C">
      <w:pPr>
        <w:spacing w:after="0"/>
      </w:pPr>
    </w:p>
    <w:p w:rsidR="0053526C" w:rsidRDefault="00BC6101">
      <w:r>
        <w:t>Veliko odstupanje u odnosu na proteklu godine na poziciji sitni inventara nastalo je iz razloga što je iz sredstava namijenih za financiranje projekata nabavljen inventar za rad projektne skupine i sitni inventar za potrebe školske kuhinje.</w:t>
      </w:r>
    </w:p>
    <w:p w:rsidR="0053526C" w:rsidRDefault="0053526C"/>
    <w:p w:rsidR="0053526C" w:rsidRDefault="00BC6101">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3231</w:t>
            </w:r>
          </w:p>
        </w:tc>
        <w:tc>
          <w:tcPr>
            <w:tcW w:w="3180" w:type="dxa"/>
            <w:tcMar>
              <w:top w:w="0" w:type="dxa"/>
              <w:bottom w:w="0" w:type="dxa"/>
            </w:tcMar>
            <w:vAlign w:val="center"/>
          </w:tcPr>
          <w:p w:rsidR="0053526C" w:rsidRDefault="00BC6101">
            <w:pPr>
              <w:keepNext/>
              <w:keepLines/>
              <w:spacing w:after="0" w:line="240" w:lineRule="auto"/>
            </w:pPr>
            <w:r>
              <w:rPr>
                <w:sz w:val="18"/>
              </w:rPr>
              <w:t>Usluge telefona, interneta, pošte i prijevoza</w:t>
            </w:r>
          </w:p>
        </w:tc>
        <w:tc>
          <w:tcPr>
            <w:tcW w:w="700" w:type="dxa"/>
            <w:tcMar>
              <w:top w:w="0" w:type="dxa"/>
              <w:bottom w:w="0" w:type="dxa"/>
            </w:tcMar>
            <w:vAlign w:val="center"/>
          </w:tcPr>
          <w:p w:rsidR="0053526C" w:rsidRDefault="00BC6101">
            <w:pPr>
              <w:keepNext/>
              <w:keepLines/>
              <w:spacing w:after="0" w:line="240" w:lineRule="auto"/>
            </w:pPr>
            <w:r>
              <w:rPr>
                <w:sz w:val="18"/>
              </w:rPr>
              <w:t>3231</w:t>
            </w:r>
          </w:p>
        </w:tc>
        <w:tc>
          <w:tcPr>
            <w:tcW w:w="1860" w:type="dxa"/>
            <w:tcMar>
              <w:top w:w="0" w:type="dxa"/>
              <w:bottom w:w="0" w:type="dxa"/>
            </w:tcMar>
            <w:vAlign w:val="center"/>
          </w:tcPr>
          <w:p w:rsidR="0053526C" w:rsidRDefault="00BC6101">
            <w:pPr>
              <w:keepNext/>
              <w:keepLines/>
              <w:spacing w:after="0" w:line="240" w:lineRule="auto"/>
              <w:jc w:val="right"/>
            </w:pPr>
            <w:r>
              <w:rPr>
                <w:sz w:val="18"/>
              </w:rPr>
              <w:t>2.242,43</w:t>
            </w:r>
          </w:p>
        </w:tc>
        <w:tc>
          <w:tcPr>
            <w:tcW w:w="1860" w:type="dxa"/>
            <w:tcMar>
              <w:top w:w="0" w:type="dxa"/>
              <w:bottom w:w="0" w:type="dxa"/>
            </w:tcMar>
            <w:vAlign w:val="center"/>
          </w:tcPr>
          <w:p w:rsidR="0053526C" w:rsidRDefault="00BC6101">
            <w:pPr>
              <w:keepNext/>
              <w:keepLines/>
              <w:spacing w:after="0" w:line="240" w:lineRule="auto"/>
              <w:jc w:val="right"/>
            </w:pPr>
            <w:r>
              <w:rPr>
                <w:sz w:val="18"/>
              </w:rPr>
              <w:t>4.012,40</w:t>
            </w:r>
          </w:p>
        </w:tc>
        <w:tc>
          <w:tcPr>
            <w:tcW w:w="700" w:type="dxa"/>
            <w:tcMar>
              <w:top w:w="0" w:type="dxa"/>
              <w:bottom w:w="0" w:type="dxa"/>
            </w:tcMar>
            <w:vAlign w:val="center"/>
          </w:tcPr>
          <w:p w:rsidR="0053526C" w:rsidRDefault="00BC6101">
            <w:pPr>
              <w:keepNext/>
              <w:keepLines/>
              <w:spacing w:after="0" w:line="240" w:lineRule="auto"/>
              <w:jc w:val="right"/>
            </w:pPr>
            <w:r>
              <w:rPr>
                <w:sz w:val="18"/>
              </w:rPr>
              <w:t>178,9</w:t>
            </w:r>
          </w:p>
        </w:tc>
      </w:tr>
    </w:tbl>
    <w:p w:rsidR="0053526C" w:rsidRDefault="0053526C">
      <w:pPr>
        <w:spacing w:after="0"/>
      </w:pPr>
    </w:p>
    <w:p w:rsidR="0053526C" w:rsidRDefault="00BC6101">
      <w:r>
        <w:t>Usluge telefona, interneta, pošte i prijevoza povećane za 178,9% u odnosu na proteklo razdoblje iz razloga što su  uknjiženi troškovi prijevoza na stručnu ekskurziju u  Dubrovnik.</w:t>
      </w:r>
    </w:p>
    <w:p w:rsidR="0053526C" w:rsidRDefault="0053526C"/>
    <w:p w:rsidR="0053526C" w:rsidRDefault="00BC6101">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3232</w:t>
            </w:r>
          </w:p>
        </w:tc>
        <w:tc>
          <w:tcPr>
            <w:tcW w:w="3180" w:type="dxa"/>
            <w:tcMar>
              <w:top w:w="0" w:type="dxa"/>
              <w:bottom w:w="0" w:type="dxa"/>
            </w:tcMar>
            <w:vAlign w:val="center"/>
          </w:tcPr>
          <w:p w:rsidR="0053526C" w:rsidRDefault="00BC6101">
            <w:pPr>
              <w:keepNext/>
              <w:keepLines/>
              <w:spacing w:after="0" w:line="240" w:lineRule="auto"/>
            </w:pPr>
            <w:r>
              <w:rPr>
                <w:sz w:val="18"/>
              </w:rPr>
              <w:t>Usluge tekućeg i investicijskog održavanja</w:t>
            </w:r>
          </w:p>
        </w:tc>
        <w:tc>
          <w:tcPr>
            <w:tcW w:w="700" w:type="dxa"/>
            <w:tcMar>
              <w:top w:w="0" w:type="dxa"/>
              <w:bottom w:w="0" w:type="dxa"/>
            </w:tcMar>
            <w:vAlign w:val="center"/>
          </w:tcPr>
          <w:p w:rsidR="0053526C" w:rsidRDefault="00BC6101">
            <w:pPr>
              <w:keepNext/>
              <w:keepLines/>
              <w:spacing w:after="0" w:line="240" w:lineRule="auto"/>
            </w:pPr>
            <w:r>
              <w:rPr>
                <w:sz w:val="18"/>
              </w:rPr>
              <w:t>3232</w:t>
            </w:r>
          </w:p>
        </w:tc>
        <w:tc>
          <w:tcPr>
            <w:tcW w:w="1860" w:type="dxa"/>
            <w:tcMar>
              <w:top w:w="0" w:type="dxa"/>
              <w:bottom w:w="0" w:type="dxa"/>
            </w:tcMar>
            <w:vAlign w:val="center"/>
          </w:tcPr>
          <w:p w:rsidR="0053526C" w:rsidRDefault="00BC6101">
            <w:pPr>
              <w:keepNext/>
              <w:keepLines/>
              <w:spacing w:after="0" w:line="240" w:lineRule="auto"/>
              <w:jc w:val="right"/>
            </w:pPr>
            <w:r>
              <w:rPr>
                <w:sz w:val="18"/>
              </w:rPr>
              <w:t>7.823,95</w:t>
            </w:r>
          </w:p>
        </w:tc>
        <w:tc>
          <w:tcPr>
            <w:tcW w:w="1860" w:type="dxa"/>
            <w:tcMar>
              <w:top w:w="0" w:type="dxa"/>
              <w:bottom w:w="0" w:type="dxa"/>
            </w:tcMar>
            <w:vAlign w:val="center"/>
          </w:tcPr>
          <w:p w:rsidR="0053526C" w:rsidRDefault="00BC6101">
            <w:pPr>
              <w:keepNext/>
              <w:keepLines/>
              <w:spacing w:after="0" w:line="240" w:lineRule="auto"/>
              <w:jc w:val="right"/>
            </w:pPr>
            <w:r>
              <w:rPr>
                <w:sz w:val="18"/>
              </w:rPr>
              <w:t>15.957,01</w:t>
            </w:r>
          </w:p>
        </w:tc>
        <w:tc>
          <w:tcPr>
            <w:tcW w:w="700" w:type="dxa"/>
            <w:tcMar>
              <w:top w:w="0" w:type="dxa"/>
              <w:bottom w:w="0" w:type="dxa"/>
            </w:tcMar>
            <w:vAlign w:val="center"/>
          </w:tcPr>
          <w:p w:rsidR="0053526C" w:rsidRDefault="00BC6101">
            <w:pPr>
              <w:keepNext/>
              <w:keepLines/>
              <w:spacing w:after="0" w:line="240" w:lineRule="auto"/>
              <w:jc w:val="right"/>
            </w:pPr>
            <w:r>
              <w:rPr>
                <w:sz w:val="18"/>
              </w:rPr>
              <w:t>204,0</w:t>
            </w:r>
          </w:p>
        </w:tc>
      </w:tr>
    </w:tbl>
    <w:p w:rsidR="0053526C" w:rsidRDefault="0053526C">
      <w:pPr>
        <w:spacing w:after="0"/>
      </w:pPr>
    </w:p>
    <w:p w:rsidR="0053526C" w:rsidRDefault="00BC6101">
      <w:r>
        <w:t xml:space="preserve">Izdaci za usluge tekućeg i investicijskog održavanja znatno su veći u odnosu na isto razdoblje protekle godine iz razloga što je ove godine napravljena sanacija </w:t>
      </w:r>
      <w:proofErr w:type="spellStart"/>
      <w:r>
        <w:t>wc-a</w:t>
      </w:r>
      <w:proofErr w:type="spellEnd"/>
      <w:r>
        <w:t xml:space="preserve"> i hodnika u PŠ Orehovica te su izvedeni soboslikarski radovi na uređenju zidova u matičnoj i  područnoj školi.</w:t>
      </w:r>
    </w:p>
    <w:p w:rsidR="0053526C" w:rsidRDefault="0053526C"/>
    <w:p w:rsidR="0053526C" w:rsidRDefault="00BC6101">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3234</w:t>
            </w:r>
          </w:p>
        </w:tc>
        <w:tc>
          <w:tcPr>
            <w:tcW w:w="3180" w:type="dxa"/>
            <w:tcMar>
              <w:top w:w="0" w:type="dxa"/>
              <w:bottom w:w="0" w:type="dxa"/>
            </w:tcMar>
            <w:vAlign w:val="center"/>
          </w:tcPr>
          <w:p w:rsidR="0053526C" w:rsidRDefault="00BC6101">
            <w:pPr>
              <w:keepNext/>
              <w:keepLines/>
              <w:spacing w:after="0" w:line="240" w:lineRule="auto"/>
            </w:pPr>
            <w:r>
              <w:rPr>
                <w:sz w:val="18"/>
              </w:rPr>
              <w:t>Komunalne usluge</w:t>
            </w:r>
          </w:p>
        </w:tc>
        <w:tc>
          <w:tcPr>
            <w:tcW w:w="700" w:type="dxa"/>
            <w:tcMar>
              <w:top w:w="0" w:type="dxa"/>
              <w:bottom w:w="0" w:type="dxa"/>
            </w:tcMar>
            <w:vAlign w:val="center"/>
          </w:tcPr>
          <w:p w:rsidR="0053526C" w:rsidRDefault="00BC6101">
            <w:pPr>
              <w:keepNext/>
              <w:keepLines/>
              <w:spacing w:after="0" w:line="240" w:lineRule="auto"/>
            </w:pPr>
            <w:r>
              <w:rPr>
                <w:sz w:val="18"/>
              </w:rPr>
              <w:t>3234</w:t>
            </w:r>
          </w:p>
        </w:tc>
        <w:tc>
          <w:tcPr>
            <w:tcW w:w="1860" w:type="dxa"/>
            <w:tcMar>
              <w:top w:w="0" w:type="dxa"/>
              <w:bottom w:w="0" w:type="dxa"/>
            </w:tcMar>
            <w:vAlign w:val="center"/>
          </w:tcPr>
          <w:p w:rsidR="0053526C" w:rsidRDefault="00BC6101">
            <w:pPr>
              <w:keepNext/>
              <w:keepLines/>
              <w:spacing w:after="0" w:line="240" w:lineRule="auto"/>
              <w:jc w:val="right"/>
            </w:pPr>
            <w:r>
              <w:rPr>
                <w:sz w:val="18"/>
              </w:rPr>
              <w:t>3.292,88</w:t>
            </w:r>
          </w:p>
        </w:tc>
        <w:tc>
          <w:tcPr>
            <w:tcW w:w="1860" w:type="dxa"/>
            <w:tcMar>
              <w:top w:w="0" w:type="dxa"/>
              <w:bottom w:w="0" w:type="dxa"/>
            </w:tcMar>
            <w:vAlign w:val="center"/>
          </w:tcPr>
          <w:p w:rsidR="0053526C" w:rsidRDefault="00BC6101">
            <w:pPr>
              <w:keepNext/>
              <w:keepLines/>
              <w:spacing w:after="0" w:line="240" w:lineRule="auto"/>
              <w:jc w:val="right"/>
            </w:pPr>
            <w:r>
              <w:rPr>
                <w:sz w:val="18"/>
              </w:rPr>
              <w:t>4.136,85</w:t>
            </w:r>
          </w:p>
        </w:tc>
        <w:tc>
          <w:tcPr>
            <w:tcW w:w="700" w:type="dxa"/>
            <w:tcMar>
              <w:top w:w="0" w:type="dxa"/>
              <w:bottom w:w="0" w:type="dxa"/>
            </w:tcMar>
            <w:vAlign w:val="center"/>
          </w:tcPr>
          <w:p w:rsidR="0053526C" w:rsidRDefault="00BC6101">
            <w:pPr>
              <w:keepNext/>
              <w:keepLines/>
              <w:spacing w:after="0" w:line="240" w:lineRule="auto"/>
              <w:jc w:val="right"/>
            </w:pPr>
            <w:r>
              <w:rPr>
                <w:sz w:val="18"/>
              </w:rPr>
              <w:t>125,6</w:t>
            </w:r>
          </w:p>
        </w:tc>
      </w:tr>
    </w:tbl>
    <w:p w:rsidR="0053526C" w:rsidRDefault="0053526C">
      <w:pPr>
        <w:spacing w:after="0"/>
      </w:pPr>
    </w:p>
    <w:p w:rsidR="0053526C" w:rsidRDefault="00BC6101">
      <w:r>
        <w:t>Izdaci za komunalne usluge veći su u odnosu na isto razdoblje protekle godine iz razloga što je došlo do puknuća  vodovodne cijevi i curenja vode  pa su povećani  troškovi vode u odnosu na proteklo razdoblje.</w:t>
      </w:r>
    </w:p>
    <w:p w:rsidR="0053526C" w:rsidRDefault="0053526C"/>
    <w:p w:rsidR="0053526C" w:rsidRDefault="00BC6101">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3236</w:t>
            </w:r>
          </w:p>
        </w:tc>
        <w:tc>
          <w:tcPr>
            <w:tcW w:w="3180" w:type="dxa"/>
            <w:tcMar>
              <w:top w:w="0" w:type="dxa"/>
              <w:bottom w:w="0" w:type="dxa"/>
            </w:tcMar>
            <w:vAlign w:val="center"/>
          </w:tcPr>
          <w:p w:rsidR="0053526C" w:rsidRDefault="00BC6101">
            <w:pPr>
              <w:keepNext/>
              <w:keepLines/>
              <w:spacing w:after="0" w:line="240" w:lineRule="auto"/>
            </w:pPr>
            <w:r>
              <w:rPr>
                <w:sz w:val="18"/>
              </w:rPr>
              <w:t>Zdravstvene i veterinarske usluge</w:t>
            </w:r>
          </w:p>
        </w:tc>
        <w:tc>
          <w:tcPr>
            <w:tcW w:w="700" w:type="dxa"/>
            <w:tcMar>
              <w:top w:w="0" w:type="dxa"/>
              <w:bottom w:w="0" w:type="dxa"/>
            </w:tcMar>
            <w:vAlign w:val="center"/>
          </w:tcPr>
          <w:p w:rsidR="0053526C" w:rsidRDefault="00BC6101">
            <w:pPr>
              <w:keepNext/>
              <w:keepLines/>
              <w:spacing w:after="0" w:line="240" w:lineRule="auto"/>
            </w:pPr>
            <w:r>
              <w:rPr>
                <w:sz w:val="18"/>
              </w:rPr>
              <w:t>3236</w:t>
            </w:r>
          </w:p>
        </w:tc>
        <w:tc>
          <w:tcPr>
            <w:tcW w:w="1860" w:type="dxa"/>
            <w:tcMar>
              <w:top w:w="0" w:type="dxa"/>
              <w:bottom w:w="0" w:type="dxa"/>
            </w:tcMar>
            <w:vAlign w:val="center"/>
          </w:tcPr>
          <w:p w:rsidR="0053526C" w:rsidRDefault="00BC6101">
            <w:pPr>
              <w:keepNext/>
              <w:keepLines/>
              <w:spacing w:after="0" w:line="240" w:lineRule="auto"/>
              <w:jc w:val="right"/>
            </w:pPr>
            <w:r>
              <w:rPr>
                <w:sz w:val="18"/>
              </w:rPr>
              <w:t>4.279,23</w:t>
            </w:r>
          </w:p>
        </w:tc>
        <w:tc>
          <w:tcPr>
            <w:tcW w:w="1860" w:type="dxa"/>
            <w:tcMar>
              <w:top w:w="0" w:type="dxa"/>
              <w:bottom w:w="0" w:type="dxa"/>
            </w:tcMar>
            <w:vAlign w:val="center"/>
          </w:tcPr>
          <w:p w:rsidR="0053526C" w:rsidRDefault="00BC6101">
            <w:pPr>
              <w:keepNext/>
              <w:keepLines/>
              <w:spacing w:after="0" w:line="240" w:lineRule="auto"/>
              <w:jc w:val="right"/>
            </w:pPr>
            <w:r>
              <w:rPr>
                <w:sz w:val="18"/>
              </w:rPr>
              <w:t>5.561,63</w:t>
            </w:r>
          </w:p>
        </w:tc>
        <w:tc>
          <w:tcPr>
            <w:tcW w:w="700" w:type="dxa"/>
            <w:tcMar>
              <w:top w:w="0" w:type="dxa"/>
              <w:bottom w:w="0" w:type="dxa"/>
            </w:tcMar>
            <w:vAlign w:val="center"/>
          </w:tcPr>
          <w:p w:rsidR="0053526C" w:rsidRDefault="00BC6101">
            <w:pPr>
              <w:keepNext/>
              <w:keepLines/>
              <w:spacing w:after="0" w:line="240" w:lineRule="auto"/>
              <w:jc w:val="right"/>
            </w:pPr>
            <w:r>
              <w:rPr>
                <w:sz w:val="18"/>
              </w:rPr>
              <w:t>130,0</w:t>
            </w:r>
          </w:p>
        </w:tc>
      </w:tr>
    </w:tbl>
    <w:p w:rsidR="0053526C" w:rsidRDefault="0053526C">
      <w:pPr>
        <w:spacing w:after="0"/>
      </w:pPr>
    </w:p>
    <w:p w:rsidR="0053526C" w:rsidRDefault="00BC6101">
      <w:r>
        <w:t>Zdravstvene usluge veće su u odnosu na isto razdoblje protekle godine zbog toga što je temeljem njihovog zakonskog prava na zdravstveni pregled upućeno više djelatnika nego protekle godine.</w:t>
      </w:r>
    </w:p>
    <w:p w:rsidR="0053526C" w:rsidRDefault="0053526C"/>
    <w:p w:rsidR="0053526C" w:rsidRDefault="00BC6101">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34</w:t>
            </w:r>
          </w:p>
        </w:tc>
        <w:tc>
          <w:tcPr>
            <w:tcW w:w="3180" w:type="dxa"/>
            <w:tcMar>
              <w:top w:w="0" w:type="dxa"/>
              <w:bottom w:w="0" w:type="dxa"/>
            </w:tcMar>
            <w:vAlign w:val="center"/>
          </w:tcPr>
          <w:p w:rsidR="0053526C" w:rsidRDefault="00BC6101">
            <w:pPr>
              <w:keepNext/>
              <w:keepLines/>
              <w:spacing w:after="0" w:line="240" w:lineRule="auto"/>
            </w:pPr>
            <w:r>
              <w:rPr>
                <w:sz w:val="18"/>
              </w:rPr>
              <w:t>Financijski rashodi (šifre 341+342+343)</w:t>
            </w:r>
          </w:p>
        </w:tc>
        <w:tc>
          <w:tcPr>
            <w:tcW w:w="700" w:type="dxa"/>
            <w:tcMar>
              <w:top w:w="0" w:type="dxa"/>
              <w:bottom w:w="0" w:type="dxa"/>
            </w:tcMar>
            <w:vAlign w:val="center"/>
          </w:tcPr>
          <w:p w:rsidR="0053526C" w:rsidRDefault="00BC6101">
            <w:pPr>
              <w:keepNext/>
              <w:keepLines/>
              <w:spacing w:after="0" w:line="240" w:lineRule="auto"/>
            </w:pPr>
            <w:r>
              <w:rPr>
                <w:sz w:val="18"/>
              </w:rPr>
              <w:t>34</w:t>
            </w:r>
          </w:p>
        </w:tc>
        <w:tc>
          <w:tcPr>
            <w:tcW w:w="1860" w:type="dxa"/>
            <w:tcMar>
              <w:top w:w="0" w:type="dxa"/>
              <w:bottom w:w="0" w:type="dxa"/>
            </w:tcMar>
            <w:vAlign w:val="center"/>
          </w:tcPr>
          <w:p w:rsidR="0053526C" w:rsidRDefault="00BC6101">
            <w:pPr>
              <w:keepNext/>
              <w:keepLines/>
              <w:spacing w:after="0" w:line="240" w:lineRule="auto"/>
              <w:jc w:val="right"/>
            </w:pPr>
            <w:r>
              <w:rPr>
                <w:sz w:val="18"/>
              </w:rPr>
              <w:t>674,82</w:t>
            </w:r>
          </w:p>
        </w:tc>
        <w:tc>
          <w:tcPr>
            <w:tcW w:w="1860" w:type="dxa"/>
            <w:tcMar>
              <w:top w:w="0" w:type="dxa"/>
              <w:bottom w:w="0" w:type="dxa"/>
            </w:tcMar>
            <w:vAlign w:val="center"/>
          </w:tcPr>
          <w:p w:rsidR="0053526C" w:rsidRDefault="00BC6101">
            <w:pPr>
              <w:keepNext/>
              <w:keepLines/>
              <w:spacing w:after="0" w:line="240" w:lineRule="auto"/>
              <w:jc w:val="right"/>
            </w:pPr>
            <w:r>
              <w:rPr>
                <w:sz w:val="18"/>
              </w:rPr>
              <w:t>474,33</w:t>
            </w:r>
          </w:p>
        </w:tc>
        <w:tc>
          <w:tcPr>
            <w:tcW w:w="700" w:type="dxa"/>
            <w:tcMar>
              <w:top w:w="0" w:type="dxa"/>
              <w:bottom w:w="0" w:type="dxa"/>
            </w:tcMar>
            <w:vAlign w:val="center"/>
          </w:tcPr>
          <w:p w:rsidR="0053526C" w:rsidRDefault="00BC6101">
            <w:pPr>
              <w:keepNext/>
              <w:keepLines/>
              <w:spacing w:after="0" w:line="240" w:lineRule="auto"/>
              <w:jc w:val="right"/>
            </w:pPr>
            <w:r>
              <w:rPr>
                <w:sz w:val="18"/>
              </w:rPr>
              <w:t>70,3</w:t>
            </w:r>
          </w:p>
        </w:tc>
      </w:tr>
    </w:tbl>
    <w:p w:rsidR="0053526C" w:rsidRDefault="0053526C">
      <w:pPr>
        <w:spacing w:after="0"/>
      </w:pPr>
    </w:p>
    <w:p w:rsidR="0053526C" w:rsidRDefault="00BC6101">
      <w:r>
        <w:t>Financijski rashodi manji su u odnosu na proteklo razdoblje iz razloga što od 01.09.2025. godine poslujemo preko jedinstvenog računa Krapinsko-zagorske županije odnosno od 01.09.2025. godine ne plaćamo bankarsku proviziju za poslovanje preko žiro računa.</w:t>
      </w:r>
    </w:p>
    <w:p w:rsidR="0053526C" w:rsidRDefault="0053526C"/>
    <w:p w:rsidR="0053526C" w:rsidRDefault="00BC6101">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3721</w:t>
            </w:r>
          </w:p>
        </w:tc>
        <w:tc>
          <w:tcPr>
            <w:tcW w:w="3180" w:type="dxa"/>
            <w:tcMar>
              <w:top w:w="0" w:type="dxa"/>
              <w:bottom w:w="0" w:type="dxa"/>
            </w:tcMar>
            <w:vAlign w:val="center"/>
          </w:tcPr>
          <w:p w:rsidR="0053526C" w:rsidRDefault="00BC6101">
            <w:pPr>
              <w:keepNext/>
              <w:keepLines/>
              <w:spacing w:after="0" w:line="240" w:lineRule="auto"/>
            </w:pPr>
            <w:r>
              <w:rPr>
                <w:sz w:val="18"/>
              </w:rPr>
              <w:t>Naknade građanima i kućanstvima u novcu</w:t>
            </w:r>
          </w:p>
        </w:tc>
        <w:tc>
          <w:tcPr>
            <w:tcW w:w="700" w:type="dxa"/>
            <w:tcMar>
              <w:top w:w="0" w:type="dxa"/>
              <w:bottom w:w="0" w:type="dxa"/>
            </w:tcMar>
            <w:vAlign w:val="center"/>
          </w:tcPr>
          <w:p w:rsidR="0053526C" w:rsidRDefault="00BC6101">
            <w:pPr>
              <w:keepNext/>
              <w:keepLines/>
              <w:spacing w:after="0" w:line="240" w:lineRule="auto"/>
            </w:pPr>
            <w:r>
              <w:rPr>
                <w:sz w:val="18"/>
              </w:rPr>
              <w:t>3721</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1.953,58</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ovoj poziciji evidentirani su rashodi za ORDC kodove koji su za naše učenike nabavljeni iz županijskog proračuna u iznosu od 1.003,58 eura te izdaci financirani iz prihoda za postignute rezultate na natjecanjima  u iznosu od 950,00 eura.</w:t>
      </w:r>
    </w:p>
    <w:p w:rsidR="0053526C" w:rsidRDefault="0053526C"/>
    <w:p w:rsidR="0053526C" w:rsidRDefault="00BC6101">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3812</w:t>
            </w:r>
          </w:p>
        </w:tc>
        <w:tc>
          <w:tcPr>
            <w:tcW w:w="3180" w:type="dxa"/>
            <w:tcMar>
              <w:top w:w="0" w:type="dxa"/>
              <w:bottom w:w="0" w:type="dxa"/>
            </w:tcMar>
            <w:vAlign w:val="center"/>
          </w:tcPr>
          <w:p w:rsidR="0053526C" w:rsidRDefault="00BC6101">
            <w:pPr>
              <w:keepNext/>
              <w:keepLines/>
              <w:spacing w:after="0" w:line="240" w:lineRule="auto"/>
            </w:pPr>
            <w:r>
              <w:rPr>
                <w:sz w:val="18"/>
              </w:rPr>
              <w:t>Tekuće donacije u naravi</w:t>
            </w:r>
          </w:p>
        </w:tc>
        <w:tc>
          <w:tcPr>
            <w:tcW w:w="700" w:type="dxa"/>
            <w:tcMar>
              <w:top w:w="0" w:type="dxa"/>
              <w:bottom w:w="0" w:type="dxa"/>
            </w:tcMar>
            <w:vAlign w:val="center"/>
          </w:tcPr>
          <w:p w:rsidR="0053526C" w:rsidRDefault="00BC6101">
            <w:pPr>
              <w:keepNext/>
              <w:keepLines/>
              <w:spacing w:after="0" w:line="240" w:lineRule="auto"/>
            </w:pPr>
            <w:r>
              <w:rPr>
                <w:sz w:val="18"/>
              </w:rPr>
              <w:t>3812</w:t>
            </w:r>
          </w:p>
        </w:tc>
        <w:tc>
          <w:tcPr>
            <w:tcW w:w="1860" w:type="dxa"/>
            <w:tcMar>
              <w:top w:w="0" w:type="dxa"/>
              <w:bottom w:w="0" w:type="dxa"/>
            </w:tcMar>
            <w:vAlign w:val="center"/>
          </w:tcPr>
          <w:p w:rsidR="0053526C" w:rsidRDefault="00BC6101">
            <w:pPr>
              <w:keepNext/>
              <w:keepLines/>
              <w:spacing w:after="0" w:line="240" w:lineRule="auto"/>
              <w:jc w:val="right"/>
            </w:pPr>
            <w:r>
              <w:rPr>
                <w:sz w:val="18"/>
              </w:rPr>
              <w:t>364,50</w:t>
            </w:r>
          </w:p>
        </w:tc>
        <w:tc>
          <w:tcPr>
            <w:tcW w:w="1860" w:type="dxa"/>
            <w:tcMar>
              <w:top w:w="0" w:type="dxa"/>
              <w:bottom w:w="0" w:type="dxa"/>
            </w:tcMar>
            <w:vAlign w:val="center"/>
          </w:tcPr>
          <w:p w:rsidR="0053526C" w:rsidRDefault="00BC6101">
            <w:pPr>
              <w:keepNext/>
              <w:keepLines/>
              <w:spacing w:after="0" w:line="240" w:lineRule="auto"/>
              <w:jc w:val="right"/>
            </w:pPr>
            <w:r>
              <w:rPr>
                <w:sz w:val="18"/>
              </w:rPr>
              <w:t>342,00</w:t>
            </w:r>
          </w:p>
        </w:tc>
        <w:tc>
          <w:tcPr>
            <w:tcW w:w="700" w:type="dxa"/>
            <w:tcMar>
              <w:top w:w="0" w:type="dxa"/>
              <w:bottom w:w="0" w:type="dxa"/>
            </w:tcMar>
            <w:vAlign w:val="center"/>
          </w:tcPr>
          <w:p w:rsidR="0053526C" w:rsidRDefault="00BC6101">
            <w:pPr>
              <w:keepNext/>
              <w:keepLines/>
              <w:spacing w:after="0" w:line="240" w:lineRule="auto"/>
              <w:jc w:val="right"/>
            </w:pPr>
            <w:r>
              <w:rPr>
                <w:sz w:val="18"/>
              </w:rPr>
              <w:t>93,8</w:t>
            </w:r>
          </w:p>
        </w:tc>
      </w:tr>
    </w:tbl>
    <w:p w:rsidR="0053526C" w:rsidRDefault="0053526C">
      <w:pPr>
        <w:spacing w:after="0"/>
      </w:pPr>
    </w:p>
    <w:p w:rsidR="0053526C" w:rsidRDefault="00BC6101">
      <w:r>
        <w:t>Na poziciji tekuće donacije u naravi evidentirani su troškovi higijenskih menstrualnih potrepština u iznosu od 342,00 eura.</w:t>
      </w:r>
    </w:p>
    <w:p w:rsidR="0053526C" w:rsidRDefault="0053526C"/>
    <w:p w:rsidR="0053526C" w:rsidRDefault="00BC6101">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MANJAK PRIHODA POSLOVANJA (šifre Z005-6)</w:t>
            </w:r>
          </w:p>
        </w:tc>
        <w:tc>
          <w:tcPr>
            <w:tcW w:w="700" w:type="dxa"/>
            <w:tcMar>
              <w:top w:w="0" w:type="dxa"/>
              <w:bottom w:w="0" w:type="dxa"/>
            </w:tcMar>
            <w:vAlign w:val="center"/>
          </w:tcPr>
          <w:p w:rsidR="0053526C" w:rsidRDefault="00BC6101">
            <w:pPr>
              <w:keepNext/>
              <w:keepLines/>
              <w:spacing w:after="0" w:line="240" w:lineRule="auto"/>
            </w:pPr>
            <w:r>
              <w:rPr>
                <w:sz w:val="18"/>
              </w:rPr>
              <w:t>Y001</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70.475,25</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Manjak prihoda dijelom je vezan za primjenu novog Pravilnika o proračunskom računovodstvu temeljem kojeg su izdaci za plaću i ostale naknade zaposlenima za 12.m. 2025. godine knjiženi u rashode izvještajnog razdoblja a prihodi će biti priznati u 2026. godini.</w:t>
      </w:r>
    </w:p>
    <w:p w:rsidR="0053526C" w:rsidRDefault="0053526C"/>
    <w:p w:rsidR="0053526C" w:rsidRDefault="00BC6101">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92211</w:t>
            </w:r>
          </w:p>
        </w:tc>
        <w:tc>
          <w:tcPr>
            <w:tcW w:w="3180" w:type="dxa"/>
            <w:tcMar>
              <w:top w:w="0" w:type="dxa"/>
              <w:bottom w:w="0" w:type="dxa"/>
            </w:tcMar>
            <w:vAlign w:val="center"/>
          </w:tcPr>
          <w:p w:rsidR="0053526C" w:rsidRDefault="00BC6101">
            <w:pPr>
              <w:keepNext/>
              <w:keepLines/>
              <w:spacing w:after="0" w:line="240" w:lineRule="auto"/>
            </w:pPr>
            <w:r>
              <w:rPr>
                <w:sz w:val="18"/>
              </w:rPr>
              <w:t>Višak prihoda poslovanja - preneseni</w:t>
            </w:r>
          </w:p>
        </w:tc>
        <w:tc>
          <w:tcPr>
            <w:tcW w:w="700" w:type="dxa"/>
            <w:tcMar>
              <w:top w:w="0" w:type="dxa"/>
              <w:bottom w:w="0" w:type="dxa"/>
            </w:tcMar>
            <w:vAlign w:val="center"/>
          </w:tcPr>
          <w:p w:rsidR="0053526C" w:rsidRDefault="00BC6101">
            <w:pPr>
              <w:keepNext/>
              <w:keepLines/>
              <w:spacing w:after="0" w:line="240" w:lineRule="auto"/>
            </w:pPr>
            <w:r>
              <w:rPr>
                <w:sz w:val="18"/>
              </w:rPr>
              <w:t>92211</w:t>
            </w:r>
          </w:p>
        </w:tc>
        <w:tc>
          <w:tcPr>
            <w:tcW w:w="1860" w:type="dxa"/>
            <w:tcMar>
              <w:top w:w="0" w:type="dxa"/>
              <w:bottom w:w="0" w:type="dxa"/>
            </w:tcMar>
            <w:vAlign w:val="center"/>
          </w:tcPr>
          <w:p w:rsidR="0053526C" w:rsidRDefault="00BC6101">
            <w:pPr>
              <w:keepNext/>
              <w:keepLines/>
              <w:spacing w:after="0" w:line="240" w:lineRule="auto"/>
              <w:jc w:val="right"/>
            </w:pPr>
            <w:r>
              <w:rPr>
                <w:sz w:val="18"/>
              </w:rPr>
              <w:t>16.581,14</w:t>
            </w:r>
          </w:p>
        </w:tc>
        <w:tc>
          <w:tcPr>
            <w:tcW w:w="1860" w:type="dxa"/>
            <w:tcMar>
              <w:top w:w="0" w:type="dxa"/>
              <w:bottom w:w="0" w:type="dxa"/>
            </w:tcMar>
            <w:vAlign w:val="center"/>
          </w:tcPr>
          <w:p w:rsidR="0053526C" w:rsidRDefault="00BC6101">
            <w:pPr>
              <w:keepNext/>
              <w:keepLines/>
              <w:spacing w:after="0" w:line="240" w:lineRule="auto"/>
              <w:jc w:val="right"/>
            </w:pPr>
            <w:r>
              <w:rPr>
                <w:sz w:val="18"/>
              </w:rPr>
              <w:t>25.282,44</w:t>
            </w:r>
          </w:p>
        </w:tc>
        <w:tc>
          <w:tcPr>
            <w:tcW w:w="700" w:type="dxa"/>
            <w:tcMar>
              <w:top w:w="0" w:type="dxa"/>
              <w:bottom w:w="0" w:type="dxa"/>
            </w:tcMar>
            <w:vAlign w:val="center"/>
          </w:tcPr>
          <w:p w:rsidR="0053526C" w:rsidRDefault="00BC6101">
            <w:pPr>
              <w:keepNext/>
              <w:keepLines/>
              <w:spacing w:after="0" w:line="240" w:lineRule="auto"/>
              <w:jc w:val="right"/>
            </w:pPr>
            <w:r>
              <w:rPr>
                <w:sz w:val="18"/>
              </w:rPr>
              <w:t>152,5</w:t>
            </w:r>
          </w:p>
        </w:tc>
      </w:tr>
    </w:tbl>
    <w:p w:rsidR="0053526C" w:rsidRDefault="0053526C">
      <w:pPr>
        <w:spacing w:after="0"/>
      </w:pPr>
    </w:p>
    <w:p w:rsidR="0053526C" w:rsidRDefault="00BC6101">
      <w:r>
        <w:t>Prema Odluci o raspodjeli rezultata poslovanja donesenoj na 63. sjednici Školskog odbora, na teret viška prihoda redovnog poslovanja koji je iskazan u Bilanci na dan 31.12.2024. godine na računu 92211 u iznosu od 33.458,77 eura pokrit će se manjak prihoda od nefinancijske imovine iskazan u bilanci s 31.12.2024. godine u iznosu od 8.176,33 eura iskazan na kontu 92222 i to iz: - viška prihoda izvor donacije 2.035,10 eura (donacija Perić, Tenšek), - viška prihoda od prodaje nefinancijske imovine u iznosu od 6.141,23 eura,  tako da iznos prenesenog viška poslovanja iznosi 25.282,44 eura.</w:t>
      </w:r>
    </w:p>
    <w:p w:rsidR="0053526C" w:rsidRDefault="0053526C"/>
    <w:p w:rsidR="0053526C" w:rsidRDefault="00BC6101">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42</w:t>
            </w:r>
          </w:p>
        </w:tc>
        <w:tc>
          <w:tcPr>
            <w:tcW w:w="3180" w:type="dxa"/>
            <w:tcMar>
              <w:top w:w="0" w:type="dxa"/>
              <w:bottom w:w="0" w:type="dxa"/>
            </w:tcMar>
            <w:vAlign w:val="center"/>
          </w:tcPr>
          <w:p w:rsidR="0053526C" w:rsidRDefault="00BC6101">
            <w:pPr>
              <w:keepNext/>
              <w:keepLines/>
              <w:spacing w:after="0" w:line="240" w:lineRule="auto"/>
            </w:pPr>
            <w:r>
              <w:rPr>
                <w:sz w:val="18"/>
              </w:rPr>
              <w:t>Rashodi za nabavu proizvedene dugotrajne imovine (šifre 421+422+423+424+425+426)</w:t>
            </w:r>
          </w:p>
        </w:tc>
        <w:tc>
          <w:tcPr>
            <w:tcW w:w="700" w:type="dxa"/>
            <w:tcMar>
              <w:top w:w="0" w:type="dxa"/>
              <w:bottom w:w="0" w:type="dxa"/>
            </w:tcMar>
            <w:vAlign w:val="center"/>
          </w:tcPr>
          <w:p w:rsidR="0053526C" w:rsidRDefault="00BC6101">
            <w:pPr>
              <w:keepNext/>
              <w:keepLines/>
              <w:spacing w:after="0" w:line="240" w:lineRule="auto"/>
            </w:pPr>
            <w:r>
              <w:rPr>
                <w:sz w:val="18"/>
              </w:rPr>
              <w:t>42</w:t>
            </w:r>
          </w:p>
        </w:tc>
        <w:tc>
          <w:tcPr>
            <w:tcW w:w="1860" w:type="dxa"/>
            <w:tcMar>
              <w:top w:w="0" w:type="dxa"/>
              <w:bottom w:w="0" w:type="dxa"/>
            </w:tcMar>
            <w:vAlign w:val="center"/>
          </w:tcPr>
          <w:p w:rsidR="0053526C" w:rsidRDefault="00BC6101">
            <w:pPr>
              <w:keepNext/>
              <w:keepLines/>
              <w:spacing w:after="0" w:line="240" w:lineRule="auto"/>
              <w:jc w:val="right"/>
            </w:pPr>
            <w:r>
              <w:rPr>
                <w:sz w:val="18"/>
              </w:rPr>
              <w:t>9.057,83</w:t>
            </w:r>
          </w:p>
        </w:tc>
        <w:tc>
          <w:tcPr>
            <w:tcW w:w="1860" w:type="dxa"/>
            <w:tcMar>
              <w:top w:w="0" w:type="dxa"/>
              <w:bottom w:w="0" w:type="dxa"/>
            </w:tcMar>
            <w:vAlign w:val="center"/>
          </w:tcPr>
          <w:p w:rsidR="0053526C" w:rsidRDefault="00BC6101">
            <w:pPr>
              <w:keepNext/>
              <w:keepLines/>
              <w:spacing w:after="0" w:line="240" w:lineRule="auto"/>
              <w:jc w:val="right"/>
            </w:pPr>
            <w:r>
              <w:rPr>
                <w:sz w:val="18"/>
              </w:rPr>
              <w:t>43.314,21</w:t>
            </w:r>
          </w:p>
        </w:tc>
        <w:tc>
          <w:tcPr>
            <w:tcW w:w="700" w:type="dxa"/>
            <w:tcMar>
              <w:top w:w="0" w:type="dxa"/>
              <w:bottom w:w="0" w:type="dxa"/>
            </w:tcMar>
            <w:vAlign w:val="center"/>
          </w:tcPr>
          <w:p w:rsidR="0053526C" w:rsidRDefault="00BC6101">
            <w:pPr>
              <w:keepNext/>
              <w:keepLines/>
              <w:spacing w:after="0" w:line="240" w:lineRule="auto"/>
              <w:jc w:val="right"/>
            </w:pPr>
            <w:r>
              <w:rPr>
                <w:sz w:val="18"/>
              </w:rPr>
              <w:t>478,2</w:t>
            </w:r>
          </w:p>
        </w:tc>
      </w:tr>
    </w:tbl>
    <w:p w:rsidR="0053526C" w:rsidRDefault="0053526C">
      <w:pPr>
        <w:spacing w:after="0"/>
      </w:pPr>
    </w:p>
    <w:p w:rsidR="0053526C" w:rsidRDefault="00BC6101">
      <w:r>
        <w:t xml:space="preserve">Rashodi za nabavu proizvedene dugotrajne imovine povećani su iz razloga što je oprema nabavljana iz sredstava za projekte, dio opreme kupljen je iz viška prihoda protekle godine, a veći dio odnosi se na troškove projektno tehničke dokumentacije koja je </w:t>
      </w:r>
      <w:proofErr w:type="spellStart"/>
      <w:r>
        <w:t>finanicirana</w:t>
      </w:r>
      <w:proofErr w:type="spellEnd"/>
      <w:r>
        <w:t xml:space="preserve"> iz izvornih županijskih prihoda a vodi se na kontu 42123 u iznosu od 18.796,63 eura.</w:t>
      </w:r>
    </w:p>
    <w:p w:rsidR="0053526C" w:rsidRDefault="00BC6101">
      <w:r>
        <w:t>,</w:t>
      </w:r>
    </w:p>
    <w:p w:rsidR="0053526C" w:rsidRDefault="0053526C"/>
    <w:p w:rsidR="0053526C" w:rsidRDefault="00BC6101">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451</w:t>
            </w:r>
          </w:p>
        </w:tc>
        <w:tc>
          <w:tcPr>
            <w:tcW w:w="3180" w:type="dxa"/>
            <w:tcMar>
              <w:top w:w="0" w:type="dxa"/>
              <w:bottom w:w="0" w:type="dxa"/>
            </w:tcMar>
            <w:vAlign w:val="center"/>
          </w:tcPr>
          <w:p w:rsidR="0053526C" w:rsidRDefault="00BC6101">
            <w:pPr>
              <w:keepNext/>
              <w:keepLines/>
              <w:spacing w:after="0" w:line="240" w:lineRule="auto"/>
            </w:pPr>
            <w:r>
              <w:rPr>
                <w:sz w:val="18"/>
              </w:rPr>
              <w:t>Dodatna ulaganja na građevinskim objektima</w:t>
            </w:r>
          </w:p>
        </w:tc>
        <w:tc>
          <w:tcPr>
            <w:tcW w:w="700" w:type="dxa"/>
            <w:tcMar>
              <w:top w:w="0" w:type="dxa"/>
              <w:bottom w:w="0" w:type="dxa"/>
            </w:tcMar>
            <w:vAlign w:val="center"/>
          </w:tcPr>
          <w:p w:rsidR="0053526C" w:rsidRDefault="00BC6101">
            <w:pPr>
              <w:keepNext/>
              <w:keepLines/>
              <w:spacing w:after="0" w:line="240" w:lineRule="auto"/>
            </w:pPr>
            <w:r>
              <w:rPr>
                <w:sz w:val="18"/>
              </w:rPr>
              <w:t>451</w:t>
            </w:r>
          </w:p>
        </w:tc>
        <w:tc>
          <w:tcPr>
            <w:tcW w:w="1860" w:type="dxa"/>
            <w:tcMar>
              <w:top w:w="0" w:type="dxa"/>
              <w:bottom w:w="0" w:type="dxa"/>
            </w:tcMar>
            <w:vAlign w:val="center"/>
          </w:tcPr>
          <w:p w:rsidR="0053526C" w:rsidRDefault="00BC6101">
            <w:pPr>
              <w:keepNext/>
              <w:keepLines/>
              <w:spacing w:after="0" w:line="240" w:lineRule="auto"/>
              <w:jc w:val="right"/>
            </w:pPr>
            <w:r>
              <w:rPr>
                <w:sz w:val="18"/>
              </w:rPr>
              <w:t>27.082,37</w:t>
            </w:r>
          </w:p>
        </w:tc>
        <w:tc>
          <w:tcPr>
            <w:tcW w:w="1860" w:type="dxa"/>
            <w:tcMar>
              <w:top w:w="0" w:type="dxa"/>
              <w:bottom w:w="0" w:type="dxa"/>
            </w:tcMar>
            <w:vAlign w:val="center"/>
          </w:tcPr>
          <w:p w:rsidR="0053526C" w:rsidRDefault="00BC6101">
            <w:pPr>
              <w:keepNext/>
              <w:keepLines/>
              <w:spacing w:after="0" w:line="240" w:lineRule="auto"/>
              <w:jc w:val="right"/>
            </w:pPr>
            <w:r>
              <w:rPr>
                <w:sz w:val="18"/>
              </w:rPr>
              <w:t>12.250,00</w:t>
            </w:r>
          </w:p>
        </w:tc>
        <w:tc>
          <w:tcPr>
            <w:tcW w:w="700" w:type="dxa"/>
            <w:tcMar>
              <w:top w:w="0" w:type="dxa"/>
              <w:bottom w:w="0" w:type="dxa"/>
            </w:tcMar>
            <w:vAlign w:val="center"/>
          </w:tcPr>
          <w:p w:rsidR="0053526C" w:rsidRDefault="00BC6101">
            <w:pPr>
              <w:keepNext/>
              <w:keepLines/>
              <w:spacing w:after="0" w:line="240" w:lineRule="auto"/>
              <w:jc w:val="right"/>
            </w:pPr>
            <w:r>
              <w:rPr>
                <w:sz w:val="18"/>
              </w:rPr>
              <w:t>45,2</w:t>
            </w:r>
          </w:p>
        </w:tc>
      </w:tr>
    </w:tbl>
    <w:p w:rsidR="0053526C" w:rsidRDefault="0053526C">
      <w:pPr>
        <w:spacing w:after="0"/>
      </w:pPr>
    </w:p>
    <w:p w:rsidR="0053526C" w:rsidRDefault="00BC6101">
      <w:r>
        <w:t>U dodatnim ulaganjima na građevinskim objektima vodimo rashode iz izvora 5.7.1 - projekt NPOO za dogradnju škole - projektno-tehnička dokumentacija u iznosu od 12.250,00 eura.</w:t>
      </w:r>
    </w:p>
    <w:p w:rsidR="0053526C" w:rsidRDefault="0053526C"/>
    <w:p w:rsidR="0053526C" w:rsidRDefault="00BC6101">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MANJAK PRIHODA OD NEFINANCIJSKE IMOVINE (šifre 4-7)</w:t>
            </w:r>
          </w:p>
        </w:tc>
        <w:tc>
          <w:tcPr>
            <w:tcW w:w="700" w:type="dxa"/>
            <w:tcMar>
              <w:top w:w="0" w:type="dxa"/>
              <w:bottom w:w="0" w:type="dxa"/>
            </w:tcMar>
            <w:vAlign w:val="center"/>
          </w:tcPr>
          <w:p w:rsidR="0053526C" w:rsidRDefault="00BC6101">
            <w:pPr>
              <w:keepNext/>
              <w:keepLines/>
              <w:spacing w:after="0" w:line="240" w:lineRule="auto"/>
            </w:pPr>
            <w:r>
              <w:rPr>
                <w:sz w:val="18"/>
              </w:rPr>
              <w:t>Y002</w:t>
            </w:r>
          </w:p>
        </w:tc>
        <w:tc>
          <w:tcPr>
            <w:tcW w:w="1860" w:type="dxa"/>
            <w:tcMar>
              <w:top w:w="0" w:type="dxa"/>
              <w:bottom w:w="0" w:type="dxa"/>
            </w:tcMar>
            <w:vAlign w:val="center"/>
          </w:tcPr>
          <w:p w:rsidR="0053526C" w:rsidRDefault="00BC6101">
            <w:pPr>
              <w:keepNext/>
              <w:keepLines/>
              <w:spacing w:after="0" w:line="240" w:lineRule="auto"/>
              <w:jc w:val="right"/>
            </w:pPr>
            <w:r>
              <w:rPr>
                <w:sz w:val="18"/>
              </w:rPr>
              <w:t>36.140,20</w:t>
            </w:r>
          </w:p>
        </w:tc>
        <w:tc>
          <w:tcPr>
            <w:tcW w:w="1860" w:type="dxa"/>
            <w:tcMar>
              <w:top w:w="0" w:type="dxa"/>
              <w:bottom w:w="0" w:type="dxa"/>
            </w:tcMar>
            <w:vAlign w:val="center"/>
          </w:tcPr>
          <w:p w:rsidR="0053526C" w:rsidRDefault="00BC6101">
            <w:pPr>
              <w:keepNext/>
              <w:keepLines/>
              <w:spacing w:after="0" w:line="240" w:lineRule="auto"/>
              <w:jc w:val="right"/>
            </w:pPr>
            <w:r>
              <w:rPr>
                <w:sz w:val="18"/>
              </w:rPr>
              <w:t>55.564,21</w:t>
            </w:r>
          </w:p>
        </w:tc>
        <w:tc>
          <w:tcPr>
            <w:tcW w:w="700" w:type="dxa"/>
            <w:tcMar>
              <w:top w:w="0" w:type="dxa"/>
              <w:bottom w:w="0" w:type="dxa"/>
            </w:tcMar>
            <w:vAlign w:val="center"/>
          </w:tcPr>
          <w:p w:rsidR="0053526C" w:rsidRDefault="00BC6101">
            <w:pPr>
              <w:keepNext/>
              <w:keepLines/>
              <w:spacing w:after="0" w:line="240" w:lineRule="auto"/>
              <w:jc w:val="right"/>
            </w:pPr>
            <w:r>
              <w:rPr>
                <w:sz w:val="18"/>
              </w:rPr>
              <w:t>153,7</w:t>
            </w:r>
          </w:p>
        </w:tc>
      </w:tr>
    </w:tbl>
    <w:p w:rsidR="0053526C" w:rsidRDefault="0053526C">
      <w:pPr>
        <w:spacing w:after="0"/>
      </w:pPr>
    </w:p>
    <w:p w:rsidR="0053526C" w:rsidRDefault="00BC6101">
      <w:r>
        <w:t>Manjak prihoda od nefinancijske imovine  zabilježen je iz razloga što se kapitalna sredstva klasificiraju kao prihodi redovnog poslovanja koji su iskorišteni za nabavu dugotrajne nefinancijske imovine. Dio rashoda za nabavu nefinancijske imovine financiran je iz viška prihoda protekle godine.</w:t>
      </w:r>
    </w:p>
    <w:p w:rsidR="0053526C" w:rsidRDefault="0053526C"/>
    <w:p w:rsidR="0053526C" w:rsidRDefault="00BC6101">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UKUPAN MANJAK PRIHODA (šifre Y034-X067)</w:t>
            </w:r>
          </w:p>
        </w:tc>
        <w:tc>
          <w:tcPr>
            <w:tcW w:w="700" w:type="dxa"/>
            <w:tcMar>
              <w:top w:w="0" w:type="dxa"/>
              <w:bottom w:w="0" w:type="dxa"/>
            </w:tcMar>
            <w:vAlign w:val="center"/>
          </w:tcPr>
          <w:p w:rsidR="0053526C" w:rsidRDefault="00BC6101">
            <w:pPr>
              <w:keepNext/>
              <w:keepLines/>
              <w:spacing w:after="0" w:line="240" w:lineRule="auto"/>
            </w:pPr>
            <w:r>
              <w:rPr>
                <w:sz w:val="18"/>
              </w:rPr>
              <w:t>Y004</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126.039,46</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Ukupan manjak prihoda u iznosu od 126.039,46 eura  odnosi se na manjak prihoda poslovanja u iznosu od 70.475,25 eura i manjak prihoda od nefinancijske imovine u iznosu od nefinancijske imovine iznosi 55.564,21 eura.</w:t>
      </w:r>
    </w:p>
    <w:p w:rsidR="0053526C" w:rsidRDefault="0053526C"/>
    <w:p w:rsidR="0053526C" w:rsidRDefault="00BC6101">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96, 97</w:t>
            </w:r>
          </w:p>
        </w:tc>
        <w:tc>
          <w:tcPr>
            <w:tcW w:w="3180" w:type="dxa"/>
            <w:tcMar>
              <w:top w:w="0" w:type="dxa"/>
              <w:bottom w:w="0" w:type="dxa"/>
            </w:tcMar>
            <w:vAlign w:val="center"/>
          </w:tcPr>
          <w:p w:rsidR="0053526C" w:rsidRDefault="00BC6101">
            <w:pPr>
              <w:keepNext/>
              <w:keepLines/>
              <w:spacing w:after="0" w:line="240" w:lineRule="auto"/>
            </w:pPr>
            <w:r>
              <w:rPr>
                <w:sz w:val="18"/>
              </w:rPr>
              <w:t>Obračunati prihodi poslovanja i od prodaje nefinancijske imovine - nenaplaćeni (šifre 96+97)</w:t>
            </w:r>
          </w:p>
        </w:tc>
        <w:tc>
          <w:tcPr>
            <w:tcW w:w="700" w:type="dxa"/>
            <w:tcMar>
              <w:top w:w="0" w:type="dxa"/>
              <w:bottom w:w="0" w:type="dxa"/>
            </w:tcMar>
            <w:vAlign w:val="center"/>
          </w:tcPr>
          <w:p w:rsidR="0053526C" w:rsidRDefault="00BC6101">
            <w:pPr>
              <w:keepNext/>
              <w:keepLines/>
              <w:spacing w:after="0" w:line="240" w:lineRule="auto"/>
            </w:pPr>
            <w:r>
              <w:rPr>
                <w:sz w:val="18"/>
              </w:rPr>
              <w:t>96,97</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111.547,83</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dan 31. 12. 205. škola ima nenaplaćene odnosno obračunate prihode od uplate roditelja za sufinanciranje dnevnog boravka u iznosu od 840,00 eura, neplaćene prihode od prodaje starog papira u iznosu od 20,00 eura, te nenaplaćene prihode iz općinskog i državnog proračuna za plaće djelatnika, prijevoz na posao te ostale materijalne troškove u iznosu od 110.687,83 eura.</w:t>
      </w:r>
    </w:p>
    <w:p w:rsidR="0053526C" w:rsidRDefault="00BC6101">
      <w:r>
        <w:lastRenderedPageBreak/>
        <w:t> </w:t>
      </w:r>
    </w:p>
    <w:p w:rsidR="0053526C" w:rsidRDefault="00BC6101">
      <w:r>
        <w:t> </w:t>
      </w:r>
    </w:p>
    <w:p w:rsidR="0053526C" w:rsidRDefault="0053526C"/>
    <w:p w:rsidR="0053526C" w:rsidRDefault="00BC6101">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rsidR="0053526C" w:rsidRDefault="00BC6101">
            <w:pPr>
              <w:keepNext/>
              <w:keepLines/>
              <w:spacing w:after="0" w:line="240" w:lineRule="auto"/>
            </w:pPr>
            <w:r>
              <w:rPr>
                <w:sz w:val="18"/>
              </w:rPr>
              <w:t>Y006</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100.757,02</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kraju obračunskog razdoblja zabilježen manjak prihoda nad rashodima u iznosu od 126.039,46 eura, dok preneseni višak iznosi 25.282,44 eura, tako da ukupni manji iznosi 100.757,02 eura.  Najveći dio manjka prihoda odnosi se na  uknjižene troškove za zaposlene za 12.m. 2025. godine, nenaplaćene troškove prehrane učenika za 12 m. 2025. godine,  nenaplaćene materijalne troškove za 12.m. 2025. godine, te na troškove financirane iz viška prihoda proteklih godina.</w:t>
      </w:r>
    </w:p>
    <w:p w:rsidR="0053526C" w:rsidRDefault="0053526C"/>
    <w:p w:rsidR="0053526C" w:rsidRDefault="00BC6101">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11</w:t>
            </w:r>
          </w:p>
        </w:tc>
        <w:tc>
          <w:tcPr>
            <w:tcW w:w="3180" w:type="dxa"/>
            <w:tcMar>
              <w:top w:w="0" w:type="dxa"/>
              <w:bottom w:w="0" w:type="dxa"/>
            </w:tcMar>
            <w:vAlign w:val="center"/>
          </w:tcPr>
          <w:p w:rsidR="0053526C" w:rsidRDefault="00BC6101">
            <w:pPr>
              <w:keepNext/>
              <w:keepLines/>
              <w:spacing w:after="0" w:line="240" w:lineRule="auto"/>
            </w:pPr>
            <w:r>
              <w:rPr>
                <w:sz w:val="18"/>
              </w:rPr>
              <w:t>Stanje novčanih sredstava na kraju izvještajnog razdoblja (šifre 11P + '11-dugov.' - '11-potraž.')</w:t>
            </w:r>
          </w:p>
        </w:tc>
        <w:tc>
          <w:tcPr>
            <w:tcW w:w="700" w:type="dxa"/>
            <w:tcMar>
              <w:top w:w="0" w:type="dxa"/>
              <w:bottom w:w="0" w:type="dxa"/>
            </w:tcMar>
            <w:vAlign w:val="center"/>
          </w:tcPr>
          <w:p w:rsidR="0053526C" w:rsidRDefault="00BC6101">
            <w:pPr>
              <w:keepNext/>
              <w:keepLines/>
              <w:spacing w:after="0" w:line="240" w:lineRule="auto"/>
            </w:pPr>
            <w:r>
              <w:rPr>
                <w:sz w:val="18"/>
              </w:rPr>
              <w:t>11K</w:t>
            </w:r>
          </w:p>
        </w:tc>
        <w:tc>
          <w:tcPr>
            <w:tcW w:w="1860" w:type="dxa"/>
            <w:tcMar>
              <w:top w:w="0" w:type="dxa"/>
              <w:bottom w:w="0" w:type="dxa"/>
            </w:tcMar>
            <w:vAlign w:val="center"/>
          </w:tcPr>
          <w:p w:rsidR="0053526C" w:rsidRDefault="00BC6101">
            <w:pPr>
              <w:keepNext/>
              <w:keepLines/>
              <w:spacing w:after="0" w:line="240" w:lineRule="auto"/>
              <w:jc w:val="right"/>
            </w:pPr>
            <w:r>
              <w:rPr>
                <w:sz w:val="18"/>
              </w:rPr>
              <w:t>32.669,51</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0</w:t>
            </w:r>
          </w:p>
        </w:tc>
      </w:tr>
    </w:tbl>
    <w:p w:rsidR="0053526C" w:rsidRDefault="0053526C">
      <w:pPr>
        <w:spacing w:after="0"/>
      </w:pPr>
    </w:p>
    <w:p w:rsidR="0053526C" w:rsidRDefault="00BC6101">
      <w:r>
        <w:t>Temeljem Odluke župana Krapinsko-zagorske županije od 21. kolovoza 2025. godine o zatvaranju transakcijskih računa proračunskih korisnika u svrhu poslovanja preko jedinstvenog računa Krapinsko-zagorske županije,  dana 29.08.2025. novčana sredstva su sa žiro računa škole uplaćena na jedinstveni račun Krapinsko-zagorske županije.</w:t>
      </w:r>
    </w:p>
    <w:p w:rsidR="0053526C" w:rsidRDefault="0053526C"/>
    <w:p w:rsidR="0053526C" w:rsidRDefault="00BC6101">
      <w:pPr>
        <w:keepNext/>
        <w:spacing w:line="240" w:lineRule="auto"/>
        <w:jc w:val="center"/>
      </w:pPr>
      <w:r>
        <w:rPr>
          <w:b/>
          <w:sz w:val="28"/>
        </w:rPr>
        <w:t>Bilanca</w:t>
      </w:r>
    </w:p>
    <w:p w:rsidR="0053526C" w:rsidRDefault="00BC6101">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02</w:t>
            </w:r>
          </w:p>
        </w:tc>
        <w:tc>
          <w:tcPr>
            <w:tcW w:w="3180" w:type="dxa"/>
            <w:tcMar>
              <w:top w:w="0" w:type="dxa"/>
              <w:bottom w:w="0" w:type="dxa"/>
            </w:tcMar>
            <w:vAlign w:val="center"/>
          </w:tcPr>
          <w:p w:rsidR="0053526C" w:rsidRDefault="00BC6101">
            <w:pPr>
              <w:keepNext/>
              <w:keepLines/>
              <w:spacing w:after="0" w:line="240" w:lineRule="auto"/>
            </w:pPr>
            <w:r>
              <w:rPr>
                <w:sz w:val="18"/>
              </w:rPr>
              <w:t>Proizvedena dugotrajna imovina (šifre '021 i 02921' + '022 i 02922' + '023 i 02923' + '024 i 02924' + '025 i 02925' + '026 i 02926')</w:t>
            </w:r>
          </w:p>
        </w:tc>
        <w:tc>
          <w:tcPr>
            <w:tcW w:w="700" w:type="dxa"/>
            <w:tcMar>
              <w:top w:w="0" w:type="dxa"/>
              <w:bottom w:w="0" w:type="dxa"/>
            </w:tcMar>
            <w:vAlign w:val="center"/>
          </w:tcPr>
          <w:p w:rsidR="0053526C" w:rsidRDefault="00BC6101">
            <w:pPr>
              <w:keepNext/>
              <w:keepLines/>
              <w:spacing w:after="0" w:line="240" w:lineRule="auto"/>
            </w:pPr>
            <w:r>
              <w:rPr>
                <w:sz w:val="18"/>
              </w:rPr>
              <w:t>02</w:t>
            </w:r>
          </w:p>
        </w:tc>
        <w:tc>
          <w:tcPr>
            <w:tcW w:w="1860" w:type="dxa"/>
            <w:tcMar>
              <w:top w:w="0" w:type="dxa"/>
              <w:bottom w:w="0" w:type="dxa"/>
            </w:tcMar>
            <w:vAlign w:val="center"/>
          </w:tcPr>
          <w:p w:rsidR="0053526C" w:rsidRDefault="00BC6101">
            <w:pPr>
              <w:keepNext/>
              <w:keepLines/>
              <w:spacing w:after="0" w:line="240" w:lineRule="auto"/>
              <w:jc w:val="right"/>
            </w:pPr>
            <w:r>
              <w:rPr>
                <w:sz w:val="18"/>
              </w:rPr>
              <w:t>292.015,55</w:t>
            </w:r>
          </w:p>
        </w:tc>
        <w:tc>
          <w:tcPr>
            <w:tcW w:w="1860" w:type="dxa"/>
            <w:tcMar>
              <w:top w:w="0" w:type="dxa"/>
              <w:bottom w:w="0" w:type="dxa"/>
            </w:tcMar>
            <w:vAlign w:val="center"/>
          </w:tcPr>
          <w:p w:rsidR="0053526C" w:rsidRDefault="00BC6101">
            <w:pPr>
              <w:keepNext/>
              <w:keepLines/>
              <w:spacing w:after="0" w:line="240" w:lineRule="auto"/>
              <w:jc w:val="right"/>
            </w:pPr>
            <w:r>
              <w:rPr>
                <w:sz w:val="18"/>
              </w:rPr>
              <w:t>276.904,55</w:t>
            </w:r>
          </w:p>
        </w:tc>
        <w:tc>
          <w:tcPr>
            <w:tcW w:w="700" w:type="dxa"/>
            <w:tcMar>
              <w:top w:w="0" w:type="dxa"/>
              <w:bottom w:w="0" w:type="dxa"/>
            </w:tcMar>
            <w:vAlign w:val="center"/>
          </w:tcPr>
          <w:p w:rsidR="0053526C" w:rsidRDefault="00BC6101">
            <w:pPr>
              <w:keepNext/>
              <w:keepLines/>
              <w:spacing w:after="0" w:line="240" w:lineRule="auto"/>
              <w:jc w:val="right"/>
            </w:pPr>
            <w:r>
              <w:rPr>
                <w:sz w:val="18"/>
              </w:rPr>
              <w:t>94,8</w:t>
            </w:r>
          </w:p>
        </w:tc>
      </w:tr>
    </w:tbl>
    <w:p w:rsidR="0053526C" w:rsidRDefault="0053526C">
      <w:pPr>
        <w:spacing w:after="0"/>
      </w:pPr>
    </w:p>
    <w:p w:rsidR="0053526C" w:rsidRDefault="00BC6101">
      <w:r>
        <w:t> </w:t>
      </w:r>
    </w:p>
    <w:p w:rsidR="0053526C" w:rsidRDefault="00BC6101">
      <w:r>
        <w:t> </w:t>
      </w:r>
    </w:p>
    <w:p w:rsidR="0053526C" w:rsidRDefault="00BC6101">
      <w:r>
        <w:t> </w:t>
      </w:r>
    </w:p>
    <w:p w:rsidR="0053526C" w:rsidRDefault="0053526C"/>
    <w:p w:rsidR="0053526C" w:rsidRDefault="00BC6101">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021 i 02921</w:t>
            </w:r>
          </w:p>
        </w:tc>
        <w:tc>
          <w:tcPr>
            <w:tcW w:w="3180" w:type="dxa"/>
            <w:tcMar>
              <w:top w:w="0" w:type="dxa"/>
              <w:bottom w:w="0" w:type="dxa"/>
            </w:tcMar>
            <w:vAlign w:val="center"/>
          </w:tcPr>
          <w:p w:rsidR="0053526C" w:rsidRDefault="00BC6101">
            <w:pPr>
              <w:keepNext/>
              <w:keepLines/>
              <w:spacing w:after="0" w:line="240" w:lineRule="auto"/>
            </w:pPr>
            <w:r>
              <w:rPr>
                <w:sz w:val="18"/>
              </w:rPr>
              <w:t>Građevinski objekti (šifre 0211 do 0214 - 02921)</w:t>
            </w:r>
          </w:p>
        </w:tc>
        <w:tc>
          <w:tcPr>
            <w:tcW w:w="700" w:type="dxa"/>
            <w:tcMar>
              <w:top w:w="0" w:type="dxa"/>
              <w:bottom w:w="0" w:type="dxa"/>
            </w:tcMar>
            <w:vAlign w:val="center"/>
          </w:tcPr>
          <w:p w:rsidR="0053526C" w:rsidRDefault="00BC6101">
            <w:pPr>
              <w:keepNext/>
              <w:keepLines/>
              <w:spacing w:after="0" w:line="240" w:lineRule="auto"/>
            </w:pPr>
            <w:r>
              <w:rPr>
                <w:sz w:val="18"/>
              </w:rPr>
              <w:t>021 i 02921</w:t>
            </w:r>
          </w:p>
        </w:tc>
        <w:tc>
          <w:tcPr>
            <w:tcW w:w="1860" w:type="dxa"/>
            <w:tcMar>
              <w:top w:w="0" w:type="dxa"/>
              <w:bottom w:w="0" w:type="dxa"/>
            </w:tcMar>
            <w:vAlign w:val="center"/>
          </w:tcPr>
          <w:p w:rsidR="0053526C" w:rsidRDefault="00BC6101">
            <w:pPr>
              <w:keepNext/>
              <w:keepLines/>
              <w:spacing w:after="0" w:line="240" w:lineRule="auto"/>
              <w:jc w:val="right"/>
            </w:pPr>
            <w:r>
              <w:rPr>
                <w:sz w:val="18"/>
              </w:rPr>
              <w:t>170.222,11</w:t>
            </w:r>
          </w:p>
        </w:tc>
        <w:tc>
          <w:tcPr>
            <w:tcW w:w="1860" w:type="dxa"/>
            <w:tcMar>
              <w:top w:w="0" w:type="dxa"/>
              <w:bottom w:w="0" w:type="dxa"/>
            </w:tcMar>
            <w:vAlign w:val="center"/>
          </w:tcPr>
          <w:p w:rsidR="0053526C" w:rsidRDefault="00BC6101">
            <w:pPr>
              <w:keepNext/>
              <w:keepLines/>
              <w:spacing w:after="0" w:line="240" w:lineRule="auto"/>
              <w:jc w:val="right"/>
            </w:pPr>
            <w:r>
              <w:rPr>
                <w:sz w:val="18"/>
              </w:rPr>
              <w:t>164.328,31</w:t>
            </w:r>
          </w:p>
        </w:tc>
        <w:tc>
          <w:tcPr>
            <w:tcW w:w="700" w:type="dxa"/>
            <w:tcMar>
              <w:top w:w="0" w:type="dxa"/>
              <w:bottom w:w="0" w:type="dxa"/>
            </w:tcMar>
            <w:vAlign w:val="center"/>
          </w:tcPr>
          <w:p w:rsidR="0053526C" w:rsidRDefault="00BC6101">
            <w:pPr>
              <w:keepNext/>
              <w:keepLines/>
              <w:spacing w:after="0" w:line="240" w:lineRule="auto"/>
              <w:jc w:val="right"/>
            </w:pPr>
            <w:r>
              <w:rPr>
                <w:sz w:val="18"/>
              </w:rPr>
              <w:t>96,5</w:t>
            </w:r>
          </w:p>
        </w:tc>
      </w:tr>
    </w:tbl>
    <w:p w:rsidR="0053526C" w:rsidRDefault="0053526C">
      <w:pPr>
        <w:spacing w:after="0"/>
      </w:pPr>
    </w:p>
    <w:p w:rsidR="0053526C" w:rsidRDefault="00BC6101">
      <w:r>
        <w:t>Za 2025. godinu obračunat je ispravak vrijednosti građevinskih objekata u iznosu od 5.893,80 eura, tako da se vrijednost građevinskih objekata smanjila za iznos ispravka vrijednosti.</w:t>
      </w:r>
    </w:p>
    <w:p w:rsidR="0053526C" w:rsidRDefault="0053526C"/>
    <w:p w:rsidR="0053526C" w:rsidRDefault="00BC6101">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022 i 02922</w:t>
            </w:r>
          </w:p>
        </w:tc>
        <w:tc>
          <w:tcPr>
            <w:tcW w:w="3180" w:type="dxa"/>
            <w:tcMar>
              <w:top w:w="0" w:type="dxa"/>
              <w:bottom w:w="0" w:type="dxa"/>
            </w:tcMar>
            <w:vAlign w:val="center"/>
          </w:tcPr>
          <w:p w:rsidR="0053526C" w:rsidRDefault="00BC6101">
            <w:pPr>
              <w:keepNext/>
              <w:keepLines/>
              <w:spacing w:after="0" w:line="240" w:lineRule="auto"/>
            </w:pPr>
            <w:r>
              <w:rPr>
                <w:sz w:val="18"/>
              </w:rPr>
              <w:t>Postrojenja i oprema (šifre 0221 do 0228 - 02922)</w:t>
            </w:r>
          </w:p>
        </w:tc>
        <w:tc>
          <w:tcPr>
            <w:tcW w:w="700" w:type="dxa"/>
            <w:tcMar>
              <w:top w:w="0" w:type="dxa"/>
              <w:bottom w:w="0" w:type="dxa"/>
            </w:tcMar>
            <w:vAlign w:val="center"/>
          </w:tcPr>
          <w:p w:rsidR="0053526C" w:rsidRDefault="00BC6101">
            <w:pPr>
              <w:keepNext/>
              <w:keepLines/>
              <w:spacing w:after="0" w:line="240" w:lineRule="auto"/>
            </w:pPr>
            <w:r>
              <w:rPr>
                <w:sz w:val="18"/>
              </w:rPr>
              <w:t>022 i 02922</w:t>
            </w:r>
          </w:p>
        </w:tc>
        <w:tc>
          <w:tcPr>
            <w:tcW w:w="1860" w:type="dxa"/>
            <w:tcMar>
              <w:top w:w="0" w:type="dxa"/>
              <w:bottom w:w="0" w:type="dxa"/>
            </w:tcMar>
            <w:vAlign w:val="center"/>
          </w:tcPr>
          <w:p w:rsidR="0053526C" w:rsidRDefault="00BC6101">
            <w:pPr>
              <w:keepNext/>
              <w:keepLines/>
              <w:spacing w:after="0" w:line="240" w:lineRule="auto"/>
              <w:jc w:val="right"/>
            </w:pPr>
            <w:r>
              <w:rPr>
                <w:sz w:val="18"/>
              </w:rPr>
              <w:t>87.609,94</w:t>
            </w:r>
          </w:p>
        </w:tc>
        <w:tc>
          <w:tcPr>
            <w:tcW w:w="1860" w:type="dxa"/>
            <w:tcMar>
              <w:top w:w="0" w:type="dxa"/>
              <w:bottom w:w="0" w:type="dxa"/>
            </w:tcMar>
            <w:vAlign w:val="center"/>
          </w:tcPr>
          <w:p w:rsidR="0053526C" w:rsidRDefault="00BC6101">
            <w:pPr>
              <w:keepNext/>
              <w:keepLines/>
              <w:spacing w:after="0" w:line="240" w:lineRule="auto"/>
              <w:jc w:val="right"/>
            </w:pPr>
            <w:r>
              <w:rPr>
                <w:sz w:val="18"/>
              </w:rPr>
              <w:t>76.872,00</w:t>
            </w:r>
          </w:p>
        </w:tc>
        <w:tc>
          <w:tcPr>
            <w:tcW w:w="700" w:type="dxa"/>
            <w:tcMar>
              <w:top w:w="0" w:type="dxa"/>
              <w:bottom w:w="0" w:type="dxa"/>
            </w:tcMar>
            <w:vAlign w:val="center"/>
          </w:tcPr>
          <w:p w:rsidR="0053526C" w:rsidRDefault="00BC6101">
            <w:pPr>
              <w:keepNext/>
              <w:keepLines/>
              <w:spacing w:after="0" w:line="240" w:lineRule="auto"/>
              <w:jc w:val="right"/>
            </w:pPr>
            <w:r>
              <w:rPr>
                <w:sz w:val="18"/>
              </w:rPr>
              <w:t>87,7</w:t>
            </w:r>
          </w:p>
        </w:tc>
      </w:tr>
    </w:tbl>
    <w:p w:rsidR="0053526C" w:rsidRDefault="0053526C">
      <w:pPr>
        <w:spacing w:after="0"/>
      </w:pPr>
    </w:p>
    <w:p w:rsidR="0053526C" w:rsidRDefault="00BC6101">
      <w:r>
        <w:t>U toku  godine nabavljeno je opreme u iznosu od  23.963,54 eura.</w:t>
      </w:r>
    </w:p>
    <w:p w:rsidR="0053526C" w:rsidRDefault="00BC6101">
      <w:r>
        <w:t>Izvršen otpis rashodovane opreme u iznosu od 37.092,18 eura.</w:t>
      </w:r>
    </w:p>
    <w:p w:rsidR="0053526C" w:rsidRDefault="00BC6101">
      <w:r>
        <w:t>Obračunat je ispravak vrijednosti postrojenja i opreme u iznosu od 34.701,48 eura.</w:t>
      </w:r>
    </w:p>
    <w:p w:rsidR="0053526C" w:rsidRDefault="00BC6101">
      <w:r>
        <w:t> </w:t>
      </w:r>
    </w:p>
    <w:p w:rsidR="0053526C" w:rsidRDefault="0053526C"/>
    <w:p w:rsidR="0053526C" w:rsidRDefault="00BC6101">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0241</w:t>
            </w:r>
          </w:p>
        </w:tc>
        <w:tc>
          <w:tcPr>
            <w:tcW w:w="3180" w:type="dxa"/>
            <w:tcMar>
              <w:top w:w="0" w:type="dxa"/>
              <w:bottom w:w="0" w:type="dxa"/>
            </w:tcMar>
            <w:vAlign w:val="center"/>
          </w:tcPr>
          <w:p w:rsidR="0053526C" w:rsidRDefault="00BC6101">
            <w:pPr>
              <w:keepNext/>
              <w:keepLines/>
              <w:spacing w:after="0" w:line="240" w:lineRule="auto"/>
            </w:pPr>
            <w:r>
              <w:rPr>
                <w:sz w:val="18"/>
              </w:rPr>
              <w:t>Knjige</w:t>
            </w:r>
          </w:p>
        </w:tc>
        <w:tc>
          <w:tcPr>
            <w:tcW w:w="700" w:type="dxa"/>
            <w:tcMar>
              <w:top w:w="0" w:type="dxa"/>
              <w:bottom w:w="0" w:type="dxa"/>
            </w:tcMar>
            <w:vAlign w:val="center"/>
          </w:tcPr>
          <w:p w:rsidR="0053526C" w:rsidRDefault="00BC6101">
            <w:pPr>
              <w:keepNext/>
              <w:keepLines/>
              <w:spacing w:after="0" w:line="240" w:lineRule="auto"/>
            </w:pPr>
            <w:r>
              <w:rPr>
                <w:sz w:val="18"/>
              </w:rPr>
              <w:t>0241</w:t>
            </w:r>
          </w:p>
        </w:tc>
        <w:tc>
          <w:tcPr>
            <w:tcW w:w="1860" w:type="dxa"/>
            <w:tcMar>
              <w:top w:w="0" w:type="dxa"/>
              <w:bottom w:w="0" w:type="dxa"/>
            </w:tcMar>
            <w:vAlign w:val="center"/>
          </w:tcPr>
          <w:p w:rsidR="0053526C" w:rsidRDefault="00BC6101">
            <w:pPr>
              <w:keepNext/>
              <w:keepLines/>
              <w:spacing w:after="0" w:line="240" w:lineRule="auto"/>
              <w:jc w:val="right"/>
            </w:pPr>
            <w:r>
              <w:rPr>
                <w:sz w:val="18"/>
              </w:rPr>
              <w:t>55.725,72</w:t>
            </w:r>
          </w:p>
        </w:tc>
        <w:tc>
          <w:tcPr>
            <w:tcW w:w="1860" w:type="dxa"/>
            <w:tcMar>
              <w:top w:w="0" w:type="dxa"/>
              <w:bottom w:w="0" w:type="dxa"/>
            </w:tcMar>
            <w:vAlign w:val="center"/>
          </w:tcPr>
          <w:p w:rsidR="0053526C" w:rsidRDefault="00BC6101">
            <w:pPr>
              <w:keepNext/>
              <w:keepLines/>
              <w:spacing w:after="0" w:line="240" w:lineRule="auto"/>
              <w:jc w:val="right"/>
            </w:pPr>
            <w:r>
              <w:rPr>
                <w:sz w:val="18"/>
              </w:rPr>
              <w:t>56.279,76</w:t>
            </w:r>
          </w:p>
        </w:tc>
        <w:tc>
          <w:tcPr>
            <w:tcW w:w="700" w:type="dxa"/>
            <w:tcMar>
              <w:top w:w="0" w:type="dxa"/>
              <w:bottom w:w="0" w:type="dxa"/>
            </w:tcMar>
            <w:vAlign w:val="center"/>
          </w:tcPr>
          <w:p w:rsidR="0053526C" w:rsidRDefault="00BC6101">
            <w:pPr>
              <w:keepNext/>
              <w:keepLines/>
              <w:spacing w:after="0" w:line="240" w:lineRule="auto"/>
              <w:jc w:val="right"/>
            </w:pPr>
            <w:r>
              <w:rPr>
                <w:sz w:val="18"/>
              </w:rPr>
              <w:t>101,0</w:t>
            </w:r>
          </w:p>
        </w:tc>
      </w:tr>
    </w:tbl>
    <w:p w:rsidR="0053526C" w:rsidRDefault="0053526C">
      <w:pPr>
        <w:spacing w:after="0"/>
      </w:pPr>
    </w:p>
    <w:p w:rsidR="0053526C" w:rsidRDefault="00BC6101">
      <w:r>
        <w:t>Tijekom obračunskog razdoblja nabavljeno je knjiga u iznosu od 554,04 eura, od čega se  iznos od 33,30 eura odnosi na udžbenike za učenike koji su otpisani jednokratno.</w:t>
      </w:r>
    </w:p>
    <w:p w:rsidR="0053526C" w:rsidRDefault="0053526C"/>
    <w:p w:rsidR="0053526C" w:rsidRDefault="00BC6101">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0242</w:t>
            </w:r>
          </w:p>
        </w:tc>
        <w:tc>
          <w:tcPr>
            <w:tcW w:w="3180" w:type="dxa"/>
            <w:tcMar>
              <w:top w:w="0" w:type="dxa"/>
              <w:bottom w:w="0" w:type="dxa"/>
            </w:tcMar>
            <w:vAlign w:val="center"/>
          </w:tcPr>
          <w:p w:rsidR="0053526C" w:rsidRDefault="00BC6101">
            <w:pPr>
              <w:keepNext/>
              <w:keepLines/>
              <w:spacing w:after="0" w:line="240" w:lineRule="auto"/>
            </w:pPr>
            <w:r>
              <w:rPr>
                <w:sz w:val="18"/>
              </w:rPr>
              <w:t>Umjetnička djela (izložena u galerijama, muzejima i slično)</w:t>
            </w:r>
          </w:p>
        </w:tc>
        <w:tc>
          <w:tcPr>
            <w:tcW w:w="700" w:type="dxa"/>
            <w:tcMar>
              <w:top w:w="0" w:type="dxa"/>
              <w:bottom w:w="0" w:type="dxa"/>
            </w:tcMar>
            <w:vAlign w:val="center"/>
          </w:tcPr>
          <w:p w:rsidR="0053526C" w:rsidRDefault="00BC6101">
            <w:pPr>
              <w:keepNext/>
              <w:keepLines/>
              <w:spacing w:after="0" w:line="240" w:lineRule="auto"/>
            </w:pPr>
            <w:r>
              <w:rPr>
                <w:sz w:val="18"/>
              </w:rPr>
              <w:t>0242</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1.000,00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 xml:space="preserve">12.05.2025. Općina </w:t>
      </w:r>
      <w:proofErr w:type="spellStart"/>
      <w:r>
        <w:t>Bedekovčina</w:t>
      </w:r>
      <w:proofErr w:type="spellEnd"/>
      <w:r>
        <w:t xml:space="preserve"> donirala je školi sliku Sv. Leopolda Mandića vrijednosti 1.000,00 eura.</w:t>
      </w:r>
    </w:p>
    <w:p w:rsidR="0053526C" w:rsidRDefault="0053526C"/>
    <w:p w:rsidR="0053526C" w:rsidRDefault="00BC6101">
      <w:pPr>
        <w:keepNext/>
        <w:spacing w:line="240" w:lineRule="auto"/>
        <w:jc w:val="center"/>
      </w:pPr>
      <w:r>
        <w:rPr>
          <w:sz w:val="28"/>
        </w:rPr>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042</w:t>
            </w:r>
          </w:p>
        </w:tc>
        <w:tc>
          <w:tcPr>
            <w:tcW w:w="3180" w:type="dxa"/>
            <w:tcMar>
              <w:top w:w="0" w:type="dxa"/>
              <w:bottom w:w="0" w:type="dxa"/>
            </w:tcMar>
            <w:vAlign w:val="center"/>
          </w:tcPr>
          <w:p w:rsidR="0053526C" w:rsidRDefault="00BC6101">
            <w:pPr>
              <w:keepNext/>
              <w:keepLines/>
              <w:spacing w:after="0" w:line="240" w:lineRule="auto"/>
            </w:pPr>
            <w:r>
              <w:rPr>
                <w:sz w:val="18"/>
              </w:rPr>
              <w:t xml:space="preserve">Sitni inventar i </w:t>
            </w:r>
            <w:proofErr w:type="spellStart"/>
            <w:r>
              <w:rPr>
                <w:sz w:val="18"/>
              </w:rPr>
              <w:t>autogume</w:t>
            </w:r>
            <w:proofErr w:type="spellEnd"/>
            <w:r>
              <w:rPr>
                <w:sz w:val="18"/>
              </w:rPr>
              <w:t xml:space="preserve"> u upotrebi</w:t>
            </w:r>
          </w:p>
        </w:tc>
        <w:tc>
          <w:tcPr>
            <w:tcW w:w="700" w:type="dxa"/>
            <w:tcMar>
              <w:top w:w="0" w:type="dxa"/>
              <w:bottom w:w="0" w:type="dxa"/>
            </w:tcMar>
            <w:vAlign w:val="center"/>
          </w:tcPr>
          <w:p w:rsidR="0053526C" w:rsidRDefault="00BC6101">
            <w:pPr>
              <w:keepNext/>
              <w:keepLines/>
              <w:spacing w:after="0" w:line="240" w:lineRule="auto"/>
            </w:pPr>
            <w:r>
              <w:rPr>
                <w:sz w:val="18"/>
              </w:rPr>
              <w:t>042</w:t>
            </w:r>
          </w:p>
        </w:tc>
        <w:tc>
          <w:tcPr>
            <w:tcW w:w="1860" w:type="dxa"/>
            <w:tcMar>
              <w:top w:w="0" w:type="dxa"/>
              <w:bottom w:w="0" w:type="dxa"/>
            </w:tcMar>
            <w:vAlign w:val="center"/>
          </w:tcPr>
          <w:p w:rsidR="0053526C" w:rsidRDefault="00BC6101">
            <w:pPr>
              <w:keepNext/>
              <w:keepLines/>
              <w:spacing w:after="0" w:line="240" w:lineRule="auto"/>
              <w:jc w:val="right"/>
            </w:pPr>
            <w:r>
              <w:rPr>
                <w:sz w:val="18"/>
              </w:rPr>
              <w:t>31.450,32</w:t>
            </w:r>
          </w:p>
        </w:tc>
        <w:tc>
          <w:tcPr>
            <w:tcW w:w="1860" w:type="dxa"/>
            <w:tcMar>
              <w:top w:w="0" w:type="dxa"/>
              <w:bottom w:w="0" w:type="dxa"/>
            </w:tcMar>
            <w:vAlign w:val="center"/>
          </w:tcPr>
          <w:p w:rsidR="0053526C" w:rsidRDefault="00BC6101">
            <w:pPr>
              <w:keepNext/>
              <w:keepLines/>
              <w:spacing w:after="0" w:line="240" w:lineRule="auto"/>
              <w:jc w:val="right"/>
            </w:pPr>
            <w:r>
              <w:rPr>
                <w:sz w:val="18"/>
              </w:rPr>
              <w:t>34.332,69</w:t>
            </w:r>
          </w:p>
        </w:tc>
        <w:tc>
          <w:tcPr>
            <w:tcW w:w="700" w:type="dxa"/>
            <w:tcMar>
              <w:top w:w="0" w:type="dxa"/>
              <w:bottom w:w="0" w:type="dxa"/>
            </w:tcMar>
            <w:vAlign w:val="center"/>
          </w:tcPr>
          <w:p w:rsidR="0053526C" w:rsidRDefault="00BC6101">
            <w:pPr>
              <w:keepNext/>
              <w:keepLines/>
              <w:spacing w:after="0" w:line="240" w:lineRule="auto"/>
              <w:jc w:val="right"/>
            </w:pPr>
            <w:r>
              <w:rPr>
                <w:sz w:val="18"/>
              </w:rPr>
              <w:t>109,2</w:t>
            </w:r>
          </w:p>
        </w:tc>
      </w:tr>
    </w:tbl>
    <w:p w:rsidR="0053526C" w:rsidRDefault="0053526C">
      <w:pPr>
        <w:spacing w:after="0"/>
      </w:pPr>
    </w:p>
    <w:p w:rsidR="0053526C" w:rsidRDefault="00BC6101">
      <w:r>
        <w:t>U toku godine nabavljen je sitni inventar u iznosu od 3.418,05 eura, a otpisano je rashodovanog sitnog inventara u iznosu od 535,68 eura.</w:t>
      </w:r>
    </w:p>
    <w:p w:rsidR="0053526C" w:rsidRDefault="0053526C"/>
    <w:p w:rsidR="0053526C" w:rsidRDefault="00BC6101">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051</w:t>
            </w:r>
          </w:p>
        </w:tc>
        <w:tc>
          <w:tcPr>
            <w:tcW w:w="3180" w:type="dxa"/>
            <w:tcMar>
              <w:top w:w="0" w:type="dxa"/>
              <w:bottom w:w="0" w:type="dxa"/>
            </w:tcMar>
            <w:vAlign w:val="center"/>
          </w:tcPr>
          <w:p w:rsidR="0053526C" w:rsidRDefault="00BC6101">
            <w:pPr>
              <w:keepNext/>
              <w:keepLines/>
              <w:spacing w:after="0" w:line="240" w:lineRule="auto"/>
            </w:pPr>
            <w:r>
              <w:rPr>
                <w:sz w:val="18"/>
              </w:rPr>
              <w:t>Građevinski objekti u pripremi</w:t>
            </w:r>
          </w:p>
        </w:tc>
        <w:tc>
          <w:tcPr>
            <w:tcW w:w="700" w:type="dxa"/>
            <w:tcMar>
              <w:top w:w="0" w:type="dxa"/>
              <w:bottom w:w="0" w:type="dxa"/>
            </w:tcMar>
            <w:vAlign w:val="center"/>
          </w:tcPr>
          <w:p w:rsidR="0053526C" w:rsidRDefault="00BC6101">
            <w:pPr>
              <w:keepNext/>
              <w:keepLines/>
              <w:spacing w:after="0" w:line="240" w:lineRule="auto"/>
            </w:pPr>
            <w:r>
              <w:rPr>
                <w:sz w:val="18"/>
              </w:rPr>
              <w:t>051</w:t>
            </w:r>
          </w:p>
        </w:tc>
        <w:tc>
          <w:tcPr>
            <w:tcW w:w="1860" w:type="dxa"/>
            <w:tcMar>
              <w:top w:w="0" w:type="dxa"/>
              <w:bottom w:w="0" w:type="dxa"/>
            </w:tcMar>
            <w:vAlign w:val="center"/>
          </w:tcPr>
          <w:p w:rsidR="0053526C" w:rsidRDefault="00BC6101">
            <w:pPr>
              <w:keepNext/>
              <w:keepLines/>
              <w:spacing w:after="0" w:line="240" w:lineRule="auto"/>
              <w:jc w:val="right"/>
            </w:pPr>
            <w:r>
              <w:rPr>
                <w:sz w:val="18"/>
              </w:rPr>
              <w:t>27.610,33</w:t>
            </w:r>
          </w:p>
        </w:tc>
        <w:tc>
          <w:tcPr>
            <w:tcW w:w="1860" w:type="dxa"/>
            <w:tcMar>
              <w:top w:w="0" w:type="dxa"/>
              <w:bottom w:w="0" w:type="dxa"/>
            </w:tcMar>
            <w:vAlign w:val="center"/>
          </w:tcPr>
          <w:p w:rsidR="0053526C" w:rsidRDefault="00BC6101">
            <w:pPr>
              <w:keepNext/>
              <w:keepLines/>
              <w:spacing w:after="0" w:line="240" w:lineRule="auto"/>
              <w:jc w:val="right"/>
            </w:pPr>
            <w:r>
              <w:rPr>
                <w:sz w:val="18"/>
              </w:rPr>
              <w:t>58.656,96</w:t>
            </w:r>
          </w:p>
        </w:tc>
        <w:tc>
          <w:tcPr>
            <w:tcW w:w="700" w:type="dxa"/>
            <w:tcMar>
              <w:top w:w="0" w:type="dxa"/>
              <w:bottom w:w="0" w:type="dxa"/>
            </w:tcMar>
            <w:vAlign w:val="center"/>
          </w:tcPr>
          <w:p w:rsidR="0053526C" w:rsidRDefault="00BC6101">
            <w:pPr>
              <w:keepNext/>
              <w:keepLines/>
              <w:spacing w:after="0" w:line="240" w:lineRule="auto"/>
              <w:jc w:val="right"/>
            </w:pPr>
            <w:r>
              <w:rPr>
                <w:sz w:val="18"/>
              </w:rPr>
              <w:t>212,4</w:t>
            </w:r>
          </w:p>
        </w:tc>
      </w:tr>
    </w:tbl>
    <w:p w:rsidR="0053526C" w:rsidRDefault="0053526C">
      <w:pPr>
        <w:spacing w:after="0"/>
      </w:pPr>
    </w:p>
    <w:p w:rsidR="0053526C" w:rsidRDefault="00BC6101">
      <w:r>
        <w:t>Na poziciji dodatnih ulaganja na građevinskim objektima evidentirani su troškovi projektno-tehničke dokumentacije te ostali troškovi, vezano za dogradnju škole koji u 2025. godini iznose 31.046,63 eura. </w:t>
      </w:r>
    </w:p>
    <w:p w:rsidR="0053526C" w:rsidRDefault="0053526C"/>
    <w:p w:rsidR="0053526C" w:rsidRDefault="00BC6101">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1112</w:t>
            </w:r>
          </w:p>
        </w:tc>
        <w:tc>
          <w:tcPr>
            <w:tcW w:w="3180" w:type="dxa"/>
            <w:tcMar>
              <w:top w:w="0" w:type="dxa"/>
              <w:bottom w:w="0" w:type="dxa"/>
            </w:tcMar>
            <w:vAlign w:val="center"/>
          </w:tcPr>
          <w:p w:rsidR="0053526C" w:rsidRDefault="00BC6101">
            <w:pPr>
              <w:keepNext/>
              <w:keepLines/>
              <w:spacing w:after="0" w:line="240" w:lineRule="auto"/>
            </w:pPr>
            <w:r>
              <w:rPr>
                <w:sz w:val="18"/>
              </w:rPr>
              <w:t>Novac na računu kod tuzemnih poslovnih banaka</w:t>
            </w:r>
          </w:p>
        </w:tc>
        <w:tc>
          <w:tcPr>
            <w:tcW w:w="700" w:type="dxa"/>
            <w:tcMar>
              <w:top w:w="0" w:type="dxa"/>
              <w:bottom w:w="0" w:type="dxa"/>
            </w:tcMar>
            <w:vAlign w:val="center"/>
          </w:tcPr>
          <w:p w:rsidR="0053526C" w:rsidRDefault="00BC6101">
            <w:pPr>
              <w:keepNext/>
              <w:keepLines/>
              <w:spacing w:after="0" w:line="240" w:lineRule="auto"/>
            </w:pPr>
            <w:r>
              <w:rPr>
                <w:sz w:val="18"/>
              </w:rPr>
              <w:t>1112</w:t>
            </w:r>
          </w:p>
        </w:tc>
        <w:tc>
          <w:tcPr>
            <w:tcW w:w="1860" w:type="dxa"/>
            <w:tcMar>
              <w:top w:w="0" w:type="dxa"/>
              <w:bottom w:w="0" w:type="dxa"/>
            </w:tcMar>
            <w:vAlign w:val="center"/>
          </w:tcPr>
          <w:p w:rsidR="0053526C" w:rsidRDefault="00BC6101">
            <w:pPr>
              <w:keepNext/>
              <w:keepLines/>
              <w:spacing w:after="0" w:line="240" w:lineRule="auto"/>
              <w:jc w:val="right"/>
            </w:pPr>
            <w:r>
              <w:rPr>
                <w:sz w:val="18"/>
              </w:rPr>
              <w:t>32.669,51</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0</w:t>
            </w:r>
          </w:p>
        </w:tc>
      </w:tr>
    </w:tbl>
    <w:p w:rsidR="0053526C" w:rsidRDefault="0053526C">
      <w:pPr>
        <w:spacing w:after="0"/>
      </w:pPr>
    </w:p>
    <w:p w:rsidR="0053526C" w:rsidRDefault="00BC6101">
      <w:r>
        <w:t>Stanje žiro računa na dan 31.12.2025. godine iznosi 0,00 eura. Temeljem Odluke župana Krapinsko-zagorske županije od 21. kolovoza 2025. godine o zatvaranju transakcijskih računa proračunskih korisnika u svrhu poslovanja preko jedinstvenog računa Krapinsko-zagorske županije,  dana 29.08.2025. novčana sredstva su sa žiro računa škole uplaćena na jedinstveni račun Krapinsko-zagorske županije.</w:t>
      </w:r>
    </w:p>
    <w:p w:rsidR="0053526C" w:rsidRDefault="0053526C"/>
    <w:p w:rsidR="0053526C" w:rsidRDefault="00BC6101">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129</w:t>
            </w:r>
          </w:p>
        </w:tc>
        <w:tc>
          <w:tcPr>
            <w:tcW w:w="3180" w:type="dxa"/>
            <w:tcMar>
              <w:top w:w="0" w:type="dxa"/>
              <w:bottom w:w="0" w:type="dxa"/>
            </w:tcMar>
            <w:vAlign w:val="center"/>
          </w:tcPr>
          <w:p w:rsidR="0053526C" w:rsidRDefault="00BC6101">
            <w:pPr>
              <w:keepNext/>
              <w:keepLines/>
              <w:spacing w:after="0" w:line="240" w:lineRule="auto"/>
            </w:pPr>
            <w:r>
              <w:rPr>
                <w:sz w:val="18"/>
              </w:rPr>
              <w:t>Ostala potraživanja</w:t>
            </w:r>
          </w:p>
        </w:tc>
        <w:tc>
          <w:tcPr>
            <w:tcW w:w="700" w:type="dxa"/>
            <w:tcMar>
              <w:top w:w="0" w:type="dxa"/>
              <w:bottom w:w="0" w:type="dxa"/>
            </w:tcMar>
            <w:vAlign w:val="center"/>
          </w:tcPr>
          <w:p w:rsidR="0053526C" w:rsidRDefault="00BC6101">
            <w:pPr>
              <w:keepNext/>
              <w:keepLines/>
              <w:spacing w:after="0" w:line="240" w:lineRule="auto"/>
            </w:pPr>
            <w:r>
              <w:rPr>
                <w:sz w:val="18"/>
              </w:rPr>
              <w:t>129</w:t>
            </w:r>
          </w:p>
        </w:tc>
        <w:tc>
          <w:tcPr>
            <w:tcW w:w="1860" w:type="dxa"/>
            <w:tcMar>
              <w:top w:w="0" w:type="dxa"/>
              <w:bottom w:w="0" w:type="dxa"/>
            </w:tcMar>
            <w:vAlign w:val="center"/>
          </w:tcPr>
          <w:p w:rsidR="0053526C" w:rsidRDefault="00BC6101">
            <w:pPr>
              <w:keepNext/>
              <w:keepLines/>
              <w:spacing w:after="0" w:line="240" w:lineRule="auto"/>
              <w:jc w:val="right"/>
            </w:pPr>
            <w:r>
              <w:rPr>
                <w:sz w:val="18"/>
              </w:rPr>
              <w:t>53,82</w:t>
            </w:r>
          </w:p>
        </w:tc>
        <w:tc>
          <w:tcPr>
            <w:tcW w:w="1860" w:type="dxa"/>
            <w:tcMar>
              <w:top w:w="0" w:type="dxa"/>
              <w:bottom w:w="0" w:type="dxa"/>
            </w:tcMar>
            <w:vAlign w:val="center"/>
          </w:tcPr>
          <w:p w:rsidR="0053526C" w:rsidRDefault="00BC6101">
            <w:pPr>
              <w:keepNext/>
              <w:keepLines/>
              <w:spacing w:after="0" w:line="240" w:lineRule="auto"/>
              <w:jc w:val="right"/>
            </w:pPr>
            <w:r>
              <w:rPr>
                <w:sz w:val="18"/>
              </w:rPr>
              <w:t>216,40</w:t>
            </w:r>
          </w:p>
        </w:tc>
        <w:tc>
          <w:tcPr>
            <w:tcW w:w="700" w:type="dxa"/>
            <w:tcMar>
              <w:top w:w="0" w:type="dxa"/>
              <w:bottom w:w="0" w:type="dxa"/>
            </w:tcMar>
            <w:vAlign w:val="center"/>
          </w:tcPr>
          <w:p w:rsidR="0053526C" w:rsidRDefault="00BC6101">
            <w:pPr>
              <w:keepNext/>
              <w:keepLines/>
              <w:spacing w:after="0" w:line="240" w:lineRule="auto"/>
              <w:jc w:val="right"/>
            </w:pPr>
            <w:r>
              <w:rPr>
                <w:sz w:val="18"/>
              </w:rPr>
              <w:t>402,1</w:t>
            </w:r>
          </w:p>
        </w:tc>
      </w:tr>
    </w:tbl>
    <w:p w:rsidR="0053526C" w:rsidRDefault="0053526C">
      <w:pPr>
        <w:spacing w:after="0"/>
      </w:pPr>
    </w:p>
    <w:p w:rsidR="0053526C" w:rsidRDefault="00BC6101">
      <w:r>
        <w:lastRenderedPageBreak/>
        <w:t>U ostalim potraživanjima 129 vodimo potraživanje za bolovanje na teret zdravstvenog osiguranja za 12-2025. godine u iznosu od 216,40 eura.</w:t>
      </w:r>
    </w:p>
    <w:p w:rsidR="0053526C" w:rsidRDefault="0053526C"/>
    <w:p w:rsidR="0053526C" w:rsidRDefault="00BC6101">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1636</w:t>
            </w:r>
          </w:p>
        </w:tc>
        <w:tc>
          <w:tcPr>
            <w:tcW w:w="3180" w:type="dxa"/>
            <w:tcMar>
              <w:top w:w="0" w:type="dxa"/>
              <w:bottom w:w="0" w:type="dxa"/>
            </w:tcMar>
            <w:vAlign w:val="center"/>
          </w:tcPr>
          <w:p w:rsidR="0053526C" w:rsidRDefault="00BC6101">
            <w:pPr>
              <w:keepNext/>
              <w:keepLines/>
              <w:spacing w:after="0" w:line="240" w:lineRule="auto"/>
            </w:pPr>
            <w:r>
              <w:rPr>
                <w:sz w:val="18"/>
              </w:rPr>
              <w:t>Potraživanja za pomoći proračunskim korisnicima iz proračuna koji im nije nadležan</w:t>
            </w:r>
          </w:p>
        </w:tc>
        <w:tc>
          <w:tcPr>
            <w:tcW w:w="700" w:type="dxa"/>
            <w:tcMar>
              <w:top w:w="0" w:type="dxa"/>
              <w:bottom w:w="0" w:type="dxa"/>
            </w:tcMar>
            <w:vAlign w:val="center"/>
          </w:tcPr>
          <w:p w:rsidR="0053526C" w:rsidRDefault="00BC6101">
            <w:pPr>
              <w:keepNext/>
              <w:keepLines/>
              <w:spacing w:after="0" w:line="240" w:lineRule="auto"/>
            </w:pPr>
            <w:r>
              <w:rPr>
                <w:sz w:val="18"/>
              </w:rPr>
              <w:t>1636</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110.687,83</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dan 31. 12. 205. škola ima evidentirana potraživanja za  prihode iz općinskog i državnog proračuna za plaće djelatnika, prijevoz na posao te ostale  materijalne troškove u iznosu od 110.687,83 eura.</w:t>
      </w:r>
    </w:p>
    <w:p w:rsidR="0053526C" w:rsidRDefault="0053526C"/>
    <w:p w:rsidR="0053526C" w:rsidRDefault="00BC6101">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165</w:t>
            </w:r>
          </w:p>
        </w:tc>
        <w:tc>
          <w:tcPr>
            <w:tcW w:w="3180" w:type="dxa"/>
            <w:tcMar>
              <w:top w:w="0" w:type="dxa"/>
              <w:bottom w:w="0" w:type="dxa"/>
            </w:tcMar>
            <w:vAlign w:val="center"/>
          </w:tcPr>
          <w:p w:rsidR="0053526C" w:rsidRDefault="00BC6101">
            <w:pPr>
              <w:keepNext/>
              <w:keepLines/>
              <w:spacing w:after="0" w:line="240" w:lineRule="auto"/>
            </w:pPr>
            <w:r>
              <w:rPr>
                <w:sz w:val="18"/>
              </w:rPr>
              <w:t>Potraživanja za upravne i administrativne pristojbe, pristojbe po posebnim propisima i naknade</w:t>
            </w:r>
          </w:p>
        </w:tc>
        <w:tc>
          <w:tcPr>
            <w:tcW w:w="700" w:type="dxa"/>
            <w:tcMar>
              <w:top w:w="0" w:type="dxa"/>
              <w:bottom w:w="0" w:type="dxa"/>
            </w:tcMar>
            <w:vAlign w:val="center"/>
          </w:tcPr>
          <w:p w:rsidR="0053526C" w:rsidRDefault="00BC6101">
            <w:pPr>
              <w:keepNext/>
              <w:keepLines/>
              <w:spacing w:after="0" w:line="240" w:lineRule="auto"/>
            </w:pPr>
            <w:r>
              <w:rPr>
                <w:sz w:val="18"/>
              </w:rPr>
              <w:t>165</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840,00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dan 31. 12. 2025. na skupini 165 evidentirana su potraživanja za prihode za sufinanciranje troškova produženog boravka učenika u iznosu od 840,00 eura. </w:t>
      </w:r>
    </w:p>
    <w:p w:rsidR="0053526C" w:rsidRDefault="0053526C"/>
    <w:p w:rsidR="0053526C" w:rsidRDefault="00BC6101">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166</w:t>
            </w:r>
          </w:p>
        </w:tc>
        <w:tc>
          <w:tcPr>
            <w:tcW w:w="3180" w:type="dxa"/>
            <w:tcMar>
              <w:top w:w="0" w:type="dxa"/>
              <w:bottom w:w="0" w:type="dxa"/>
            </w:tcMar>
            <w:vAlign w:val="center"/>
          </w:tcPr>
          <w:p w:rsidR="0053526C" w:rsidRDefault="00BC6101">
            <w:pPr>
              <w:keepNext/>
              <w:keepLines/>
              <w:spacing w:after="0" w:line="240" w:lineRule="auto"/>
            </w:pPr>
            <w:r>
              <w:rPr>
                <w:sz w:val="18"/>
              </w:rPr>
              <w:t>Potraživanja za prihode od prodaje proizvoda i robe te pruženih usluga i za povrat po protestiranim jamstvima</w:t>
            </w:r>
          </w:p>
        </w:tc>
        <w:tc>
          <w:tcPr>
            <w:tcW w:w="700" w:type="dxa"/>
            <w:tcMar>
              <w:top w:w="0" w:type="dxa"/>
              <w:bottom w:w="0" w:type="dxa"/>
            </w:tcMar>
            <w:vAlign w:val="center"/>
          </w:tcPr>
          <w:p w:rsidR="0053526C" w:rsidRDefault="00BC6101">
            <w:pPr>
              <w:keepNext/>
              <w:keepLines/>
              <w:spacing w:after="0" w:line="240" w:lineRule="auto"/>
            </w:pPr>
            <w:r>
              <w:rPr>
                <w:sz w:val="18"/>
              </w:rPr>
              <w:t>166</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20,00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dan 31. 12. 2025.  potraživanja za prihode od prodaje proizvoda i robe te pruženih usluga iznose 20,00 eura i odnose se na potraživanje za prodaju starog papira.</w:t>
      </w:r>
    </w:p>
    <w:p w:rsidR="0053526C" w:rsidRDefault="0053526C"/>
    <w:p w:rsidR="0053526C" w:rsidRDefault="00BC6101">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167</w:t>
            </w:r>
          </w:p>
        </w:tc>
        <w:tc>
          <w:tcPr>
            <w:tcW w:w="3180" w:type="dxa"/>
            <w:tcMar>
              <w:top w:w="0" w:type="dxa"/>
              <w:bottom w:w="0" w:type="dxa"/>
            </w:tcMar>
            <w:vAlign w:val="center"/>
          </w:tcPr>
          <w:p w:rsidR="0053526C" w:rsidRDefault="00BC6101">
            <w:pPr>
              <w:keepNext/>
              <w:keepLines/>
              <w:spacing w:after="0" w:line="240" w:lineRule="auto"/>
            </w:pPr>
            <w:r>
              <w:rPr>
                <w:sz w:val="18"/>
              </w:rPr>
              <w:t>Potraživanja proračunskih korisnika za sredstva uplaćena u nadležni proračun i za prihode od HZZO-a na temelju ugovornih obveza</w:t>
            </w:r>
          </w:p>
        </w:tc>
        <w:tc>
          <w:tcPr>
            <w:tcW w:w="700" w:type="dxa"/>
            <w:tcMar>
              <w:top w:w="0" w:type="dxa"/>
              <w:bottom w:w="0" w:type="dxa"/>
            </w:tcMar>
            <w:vAlign w:val="center"/>
          </w:tcPr>
          <w:p w:rsidR="0053526C" w:rsidRDefault="00BC6101">
            <w:pPr>
              <w:keepNext/>
              <w:keepLines/>
              <w:spacing w:after="0" w:line="240" w:lineRule="auto"/>
            </w:pPr>
            <w:r>
              <w:rPr>
                <w:sz w:val="18"/>
              </w:rPr>
              <w:t>167</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11.833,10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lastRenderedPageBreak/>
        <w:t xml:space="preserve"> U potraživanja proračunskih korisnika za sredstva uplaćena u nadležni proračun </w:t>
      </w:r>
      <w:proofErr w:type="spellStart"/>
      <w:r>
        <w:t>evidentitrana</w:t>
      </w:r>
      <w:proofErr w:type="spellEnd"/>
      <w:r>
        <w:t xml:space="preserve"> su potraživanja škole za sredstva uplaćena u nadležni proračun budući da je krajem kolovoza 2025. godine ukinut žiro računu poslovnoj banci i sredstva su </w:t>
      </w:r>
      <w:proofErr w:type="spellStart"/>
      <w:r>
        <w:t>prenjeta</w:t>
      </w:r>
      <w:proofErr w:type="spellEnd"/>
      <w:r>
        <w:t xml:space="preserve"> na račun Krapinsko-zagorske županije u svrhu poslovanja preko jedinstvenog računa riznice. Na dan 31. 12. 2025. godine potraživanja škole uplaćena u nadležni proračun iznose 11.833,10 eura.</w:t>
      </w:r>
    </w:p>
    <w:p w:rsidR="0053526C" w:rsidRDefault="0053526C"/>
    <w:p w:rsidR="0053526C" w:rsidRDefault="00BC6101">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2</w:t>
            </w:r>
          </w:p>
        </w:tc>
        <w:tc>
          <w:tcPr>
            <w:tcW w:w="3180" w:type="dxa"/>
            <w:tcMar>
              <w:top w:w="0" w:type="dxa"/>
              <w:bottom w:w="0" w:type="dxa"/>
            </w:tcMar>
            <w:vAlign w:val="center"/>
          </w:tcPr>
          <w:p w:rsidR="0053526C" w:rsidRDefault="00BC6101">
            <w:pPr>
              <w:keepNext/>
              <w:keepLines/>
              <w:spacing w:after="0" w:line="240" w:lineRule="auto"/>
            </w:pPr>
            <w:r>
              <w:rPr>
                <w:sz w:val="18"/>
              </w:rPr>
              <w:t>Obveze (šifre 23+24+25+26+27+29)</w:t>
            </w:r>
          </w:p>
        </w:tc>
        <w:tc>
          <w:tcPr>
            <w:tcW w:w="700" w:type="dxa"/>
            <w:tcMar>
              <w:top w:w="0" w:type="dxa"/>
              <w:bottom w:w="0" w:type="dxa"/>
            </w:tcMar>
            <w:vAlign w:val="center"/>
          </w:tcPr>
          <w:p w:rsidR="0053526C" w:rsidRDefault="00BC6101">
            <w:pPr>
              <w:keepNext/>
              <w:keepLines/>
              <w:spacing w:after="0" w:line="240" w:lineRule="auto"/>
            </w:pPr>
            <w:r>
              <w:rPr>
                <w:sz w:val="18"/>
              </w:rPr>
              <w:t>2</w:t>
            </w:r>
          </w:p>
        </w:tc>
        <w:tc>
          <w:tcPr>
            <w:tcW w:w="1860" w:type="dxa"/>
            <w:tcMar>
              <w:top w:w="0" w:type="dxa"/>
              <w:bottom w:w="0" w:type="dxa"/>
            </w:tcMar>
            <w:vAlign w:val="center"/>
          </w:tcPr>
          <w:p w:rsidR="0053526C" w:rsidRDefault="00BC6101">
            <w:pPr>
              <w:keepNext/>
              <w:keepLines/>
              <w:spacing w:after="0" w:line="240" w:lineRule="auto"/>
              <w:jc w:val="right"/>
            </w:pPr>
            <w:r>
              <w:rPr>
                <w:sz w:val="18"/>
              </w:rPr>
              <w:t>96.429,70</w:t>
            </w:r>
          </w:p>
        </w:tc>
        <w:tc>
          <w:tcPr>
            <w:tcW w:w="1860" w:type="dxa"/>
            <w:tcMar>
              <w:top w:w="0" w:type="dxa"/>
              <w:bottom w:w="0" w:type="dxa"/>
            </w:tcMar>
            <w:vAlign w:val="center"/>
          </w:tcPr>
          <w:p w:rsidR="0053526C" w:rsidRDefault="00BC6101">
            <w:pPr>
              <w:keepNext/>
              <w:keepLines/>
              <w:spacing w:after="0" w:line="240" w:lineRule="auto"/>
              <w:jc w:val="right"/>
            </w:pPr>
            <w:r>
              <w:rPr>
                <w:sz w:val="18"/>
              </w:rPr>
              <w:t>112.806,52</w:t>
            </w:r>
          </w:p>
        </w:tc>
        <w:tc>
          <w:tcPr>
            <w:tcW w:w="700" w:type="dxa"/>
            <w:tcMar>
              <w:top w:w="0" w:type="dxa"/>
              <w:bottom w:w="0" w:type="dxa"/>
            </w:tcMar>
            <w:vAlign w:val="center"/>
          </w:tcPr>
          <w:p w:rsidR="0053526C" w:rsidRDefault="00BC6101">
            <w:pPr>
              <w:keepNext/>
              <w:keepLines/>
              <w:spacing w:after="0" w:line="240" w:lineRule="auto"/>
              <w:jc w:val="right"/>
            </w:pPr>
            <w:r>
              <w:rPr>
                <w:sz w:val="18"/>
              </w:rPr>
              <w:t>117,0</w:t>
            </w:r>
          </w:p>
        </w:tc>
      </w:tr>
    </w:tbl>
    <w:p w:rsidR="0053526C" w:rsidRDefault="0053526C">
      <w:pPr>
        <w:spacing w:after="0"/>
      </w:pPr>
    </w:p>
    <w:p w:rsidR="0053526C" w:rsidRDefault="00BC6101">
      <w:r>
        <w:t>Iznos obveza iznosi  112.806,52 eura i odgovara iznosu obaveza navedenih na poziciji V006 u obrascu OBVEZE.</w:t>
      </w:r>
    </w:p>
    <w:p w:rsidR="0053526C" w:rsidRDefault="0053526C"/>
    <w:p w:rsidR="0053526C" w:rsidRDefault="00BC6101">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922</w:t>
            </w:r>
          </w:p>
        </w:tc>
        <w:tc>
          <w:tcPr>
            <w:tcW w:w="3180" w:type="dxa"/>
            <w:tcMar>
              <w:top w:w="0" w:type="dxa"/>
              <w:bottom w:w="0" w:type="dxa"/>
            </w:tcMar>
            <w:vAlign w:val="center"/>
          </w:tcPr>
          <w:p w:rsidR="0053526C" w:rsidRDefault="00BC6101">
            <w:pPr>
              <w:keepNext/>
              <w:keepLines/>
              <w:spacing w:after="0" w:line="240" w:lineRule="auto"/>
            </w:pPr>
            <w:r>
              <w:rPr>
                <w:sz w:val="18"/>
              </w:rPr>
              <w:t>Rezultat - višak/manjak (šifre 9221-9222)</w:t>
            </w:r>
          </w:p>
        </w:tc>
        <w:tc>
          <w:tcPr>
            <w:tcW w:w="700" w:type="dxa"/>
            <w:tcMar>
              <w:top w:w="0" w:type="dxa"/>
              <w:bottom w:w="0" w:type="dxa"/>
            </w:tcMar>
            <w:vAlign w:val="center"/>
          </w:tcPr>
          <w:p w:rsidR="0053526C" w:rsidRDefault="00BC6101">
            <w:pPr>
              <w:keepNext/>
              <w:keepLines/>
              <w:spacing w:after="0" w:line="240" w:lineRule="auto"/>
            </w:pPr>
            <w:r>
              <w:rPr>
                <w:sz w:val="18"/>
              </w:rPr>
              <w:t>922</w:t>
            </w:r>
          </w:p>
        </w:tc>
        <w:tc>
          <w:tcPr>
            <w:tcW w:w="1860" w:type="dxa"/>
            <w:tcMar>
              <w:top w:w="0" w:type="dxa"/>
              <w:bottom w:w="0" w:type="dxa"/>
            </w:tcMar>
            <w:vAlign w:val="center"/>
          </w:tcPr>
          <w:p w:rsidR="0053526C" w:rsidRDefault="00BC6101">
            <w:pPr>
              <w:keepNext/>
              <w:keepLines/>
              <w:spacing w:after="0" w:line="240" w:lineRule="auto"/>
              <w:jc w:val="right"/>
            </w:pPr>
            <w:r>
              <w:rPr>
                <w:sz w:val="18"/>
              </w:rPr>
              <w:t>25.282,44</w:t>
            </w:r>
          </w:p>
        </w:tc>
        <w:tc>
          <w:tcPr>
            <w:tcW w:w="1860" w:type="dxa"/>
            <w:tcMar>
              <w:top w:w="0" w:type="dxa"/>
              <w:bottom w:w="0" w:type="dxa"/>
            </w:tcMar>
            <w:vAlign w:val="center"/>
          </w:tcPr>
          <w:p w:rsidR="0053526C" w:rsidRDefault="00BC6101">
            <w:pPr>
              <w:keepNext/>
              <w:keepLines/>
              <w:spacing w:after="0" w:line="240" w:lineRule="auto"/>
              <w:jc w:val="right"/>
            </w:pPr>
            <w:r>
              <w:rPr>
                <w:sz w:val="18"/>
              </w:rPr>
              <w:t>-100.757,02</w:t>
            </w:r>
          </w:p>
        </w:tc>
        <w:tc>
          <w:tcPr>
            <w:tcW w:w="700" w:type="dxa"/>
            <w:tcMar>
              <w:top w:w="0" w:type="dxa"/>
              <w:bottom w:w="0" w:type="dxa"/>
            </w:tcMar>
            <w:vAlign w:val="center"/>
          </w:tcPr>
          <w:p w:rsidR="0053526C" w:rsidRDefault="00BC6101">
            <w:pPr>
              <w:keepNext/>
              <w:keepLines/>
              <w:spacing w:after="0" w:line="240" w:lineRule="auto"/>
              <w:jc w:val="right"/>
            </w:pPr>
            <w:r>
              <w:rPr>
                <w:sz w:val="18"/>
              </w:rPr>
              <w:t>-398,5</w:t>
            </w:r>
          </w:p>
        </w:tc>
      </w:tr>
    </w:tbl>
    <w:p w:rsidR="0053526C" w:rsidRDefault="0053526C">
      <w:pPr>
        <w:spacing w:after="0"/>
      </w:pPr>
    </w:p>
    <w:p w:rsidR="0053526C" w:rsidRDefault="00BC6101">
      <w:r>
        <w:t xml:space="preserve">Manjak prihoda poslovanja na dan 31.12.2025. godine iznosi 70.475,25 eura. Manjak prihoda od nefinancijske imovine na dan 31.12.2025. godine iznosi 55.564,21 eura. Ukupan manjak prihoda nad rashodima na dan 31.12.2025. godine iznosi 126.039,46 eura. Napravljena je korekcija rezultata  za iznose kapitalnih pomoći ostvarenih tijekom proračunske godine koji se </w:t>
      </w:r>
      <w:proofErr w:type="spellStart"/>
      <w:r>
        <w:t>evidenitraju</w:t>
      </w:r>
      <w:proofErr w:type="spellEnd"/>
      <w:r>
        <w:t xml:space="preserve"> na računima razreda 6 u iznosu od 38.302,38 eura. Nakon izvršene korekcije rezultata manjak prihoda poslovanja iznosi 108.777,63 eura. Manjak se odnosi na troškove plaće, prijevoza i ostalih rashoda za zaposlene za 12-2025. godine, troškove prehrane učenika za 12. m. 2025. godine, nenaplaćene materijalne troškove za 12.m. 2025. godine,  te troškove financirane iz viška prihoda proteklih godina. Prema Odluci o raspodjeli rezultata poslovanja donesenoj na 63. sjednici Školskog odbora, na teret viška prihoda redovnog poslovanja koji je iskazan u Bilanci na dan 31.12.2024. godine na računu 92211 u iznosu od 33.458,77 eura pokrit će se manjak prihoda od nefinancijske imovine iskazan u bilanci s 31.12.2024. godine u iznosu od 8.176,33 eura iskazan na kontu 92222 i to iz: - viška prihoda izvor donacije 2.035,10 eura (donacija Perić, Tenšek), - viška prihoda od prodaje nefinancijske imovine u iznosu od 6.141,23 eura,  tako da iznos prenesenog viška poslovanja iznosi 25.282,44 eura. Preneseni višak prihoda poslovanja iz proteklih godina iznosi 25.282,44 eura, tako da ukupni  manjak poslovanja za pokriće u sljedećem razdoblju iznosi 83.495,19 eura. Manjak prihoda od nefinancijske imovine  (nakon izvršene korekcije rezultata u iznosu od 38.302,38 eura) iznosi 17.261,83 eura.  Manjak prihoda od nefinancijske imovine se odnosi na troškove nabave opreme iz viška prihoda proteklih godina. Ukupni manjak prihoda  na dan 31. 12.2025. godine iznosi 100.757, 02 eura.                                 </w:t>
      </w:r>
    </w:p>
    <w:p w:rsidR="0053526C" w:rsidRDefault="00BC6101" w:rsidP="00D761A9">
      <w:r>
        <w:lastRenderedPageBreak/>
        <w:t xml:space="preserve">    </w:t>
      </w:r>
      <w:r w:rsidR="00D761A9">
        <w:t>V</w:t>
      </w:r>
      <w:r>
        <w:t xml:space="preserve">išak/manjak po izvorima:                                                                               </w:t>
      </w:r>
      <w:r w:rsidR="00D761A9">
        <w:t xml:space="preserve">                        </w:t>
      </w:r>
      <w:r w:rsidR="00376D3A">
        <w:t xml:space="preserve">   </w:t>
      </w:r>
      <w:proofErr w:type="spellStart"/>
      <w:r w:rsidR="00376D3A">
        <w:t>l.l</w:t>
      </w:r>
      <w:proofErr w:type="spellEnd"/>
      <w:r w:rsidR="00376D3A">
        <w:t>. Opći prihodi i primici</w:t>
      </w:r>
      <w:r>
        <w:t xml:space="preserve">             manjak       -582,80 eura,                                                       </w:t>
      </w:r>
      <w:r w:rsidR="00D761A9">
        <w:t xml:space="preserve">     </w:t>
      </w:r>
      <w:r w:rsidR="00376D3A">
        <w:t>1.3. De</w:t>
      </w:r>
      <w:r>
        <w:t xml:space="preserve">centralizacija  </w:t>
      </w:r>
      <w:r w:rsidR="00376D3A">
        <w:t xml:space="preserve">  </w:t>
      </w:r>
      <w:r w:rsidR="00D761A9">
        <w:t xml:space="preserve">      </w:t>
      </w:r>
      <w:r>
        <w:t>             manjak     -2.795,16 eura,                                                       </w:t>
      </w:r>
      <w:r w:rsidR="00376D3A">
        <w:t>3</w:t>
      </w:r>
      <w:r>
        <w:t>.1.1 Vlastiti prihodi PK              manjak     -1.721,21 eura,                         </w:t>
      </w:r>
      <w:r w:rsidR="00376D3A">
        <w:t xml:space="preserve">                          </w:t>
      </w:r>
      <w:r w:rsidR="00D761A9">
        <w:t>4</w:t>
      </w:r>
      <w:r>
        <w:t>.3.1 Prihodi za posebne namjene  višak       +1.053,52 eura,                         </w:t>
      </w:r>
      <w:r w:rsidR="00376D3A">
        <w:t xml:space="preserve">                     </w:t>
      </w:r>
      <w:r>
        <w:t xml:space="preserve">      </w:t>
      </w:r>
      <w:r w:rsidR="00D761A9">
        <w:t>5</w:t>
      </w:r>
      <w:r>
        <w:t xml:space="preserve">.2. Ministarstvo                        </w:t>
      </w:r>
      <w:r w:rsidR="00376D3A">
        <w:t xml:space="preserve"> </w:t>
      </w:r>
      <w:r>
        <w:t xml:space="preserve">manjak    </w:t>
      </w:r>
      <w:r w:rsidR="00376D3A">
        <w:t xml:space="preserve">    </w:t>
      </w:r>
      <w:r>
        <w:t xml:space="preserve">   -303,98 eura,                                                   </w:t>
      </w:r>
      <w:r w:rsidR="00D761A9">
        <w:t xml:space="preserve">      </w:t>
      </w:r>
      <w:r w:rsidR="00376D3A">
        <w:t>5</w:t>
      </w:r>
      <w:r>
        <w:t xml:space="preserve">.2.1 Ministarstvo PK                manjak  </w:t>
      </w:r>
      <w:r w:rsidR="00D761A9">
        <w:t xml:space="preserve">   </w:t>
      </w:r>
      <w:r>
        <w:t>-10</w:t>
      </w:r>
      <w:r w:rsidR="00376D3A">
        <w:t xml:space="preserve">2.245,39 eura,              </w:t>
      </w:r>
      <w:r>
        <w:t>             </w:t>
      </w:r>
      <w:r w:rsidR="00376D3A">
        <w:t xml:space="preserve">                          </w:t>
      </w:r>
      <w:r>
        <w:t xml:space="preserve">    </w:t>
      </w:r>
      <w:r w:rsidR="00376D3A">
        <w:t>5.</w:t>
      </w:r>
      <w:r>
        <w:t>4.1. JLS P</w:t>
      </w:r>
      <w:r w:rsidR="00376D3A">
        <w:t xml:space="preserve">K                            </w:t>
      </w:r>
      <w:r>
        <w:t xml:space="preserve"> </w:t>
      </w:r>
      <w:r w:rsidR="00376D3A">
        <w:t>m</w:t>
      </w:r>
      <w:r>
        <w:t>anjak     -17.013,14 eura,                                                         5.7. Ministarstvo prijenos EU   </w:t>
      </w:r>
      <w:r w:rsidR="00376D3A">
        <w:t xml:space="preserve"> manjak  </w:t>
      </w:r>
      <w:r w:rsidR="00D761A9">
        <w:t xml:space="preserve"> </w:t>
      </w:r>
      <w:r w:rsidR="00376D3A">
        <w:t>    - 2.013</w:t>
      </w:r>
      <w:r w:rsidR="00D761A9">
        <w:t>,30 eura</w:t>
      </w:r>
      <w:r>
        <w:t xml:space="preserve">                       </w:t>
      </w:r>
      <w:r w:rsidR="00D761A9">
        <w:t xml:space="preserve">                            </w:t>
      </w:r>
      <w:r>
        <w:t xml:space="preserve">     </w:t>
      </w:r>
      <w:r w:rsidR="00D761A9">
        <w:t xml:space="preserve"> </w:t>
      </w:r>
      <w:r>
        <w:t xml:space="preserve">6.2.1 Donacije    </w:t>
      </w:r>
      <w:r w:rsidR="00376D3A">
        <w:t xml:space="preserve">                </w:t>
      </w:r>
      <w:r>
        <w:t>          višak              500,00 eura, </w:t>
      </w:r>
      <w:r w:rsidR="00376D3A">
        <w:t xml:space="preserve">    </w:t>
      </w:r>
      <w:r>
        <w:t xml:space="preserve">                 </w:t>
      </w:r>
      <w:r w:rsidR="00376D3A">
        <w:t xml:space="preserve">                          </w:t>
      </w:r>
      <w:r>
        <w:t xml:space="preserve">    </w:t>
      </w:r>
      <w:r w:rsidR="00D761A9">
        <w:t xml:space="preserve">   </w:t>
      </w:r>
      <w:r>
        <w:t xml:space="preserve"> </w:t>
      </w:r>
      <w:r w:rsidR="00D761A9">
        <w:t xml:space="preserve">          </w:t>
      </w:r>
      <w:r>
        <w:t xml:space="preserve">7.1.1. Prihod od prodaje </w:t>
      </w:r>
      <w:proofErr w:type="spellStart"/>
      <w:r>
        <w:t>nef</w:t>
      </w:r>
      <w:proofErr w:type="spellEnd"/>
      <w:r>
        <w:t>. imovine   </w:t>
      </w:r>
      <w:r w:rsidR="00376D3A">
        <w:t>ma</w:t>
      </w:r>
      <w:r>
        <w:t>njak      918,00 eura.</w:t>
      </w:r>
    </w:p>
    <w:p w:rsidR="0053526C" w:rsidRDefault="00BC6101" w:rsidP="00376D3A">
      <w:pPr>
        <w:jc w:val="both"/>
      </w:pPr>
      <w:r>
        <w:t>                   </w:t>
      </w:r>
    </w:p>
    <w:p w:rsidR="0053526C" w:rsidRDefault="00BC6101">
      <w:r>
        <w:t>                                                                                                                                                                                          </w:t>
      </w:r>
    </w:p>
    <w:p w:rsidR="0053526C" w:rsidRDefault="00BC6101">
      <w:r>
        <w:t> </w:t>
      </w:r>
    </w:p>
    <w:p w:rsidR="0053526C" w:rsidRDefault="00BC6101">
      <w:r>
        <w:t> </w:t>
      </w:r>
    </w:p>
    <w:p w:rsidR="0053526C" w:rsidRDefault="0053526C"/>
    <w:p w:rsidR="0053526C" w:rsidRDefault="00BC6101">
      <w:pPr>
        <w:keepNext/>
        <w:spacing w:line="240" w:lineRule="auto"/>
        <w:jc w:val="center"/>
      </w:pPr>
      <w:r>
        <w:rPr>
          <w:b/>
          <w:sz w:val="28"/>
        </w:rPr>
        <w:t>Izvještaj o rashodima prema funkcijskoj klasifikaciji</w:t>
      </w:r>
    </w:p>
    <w:p w:rsidR="0053526C" w:rsidRDefault="00BC6101">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09</w:t>
            </w:r>
          </w:p>
        </w:tc>
        <w:tc>
          <w:tcPr>
            <w:tcW w:w="3180" w:type="dxa"/>
            <w:tcMar>
              <w:top w:w="0" w:type="dxa"/>
              <w:bottom w:w="0" w:type="dxa"/>
            </w:tcMar>
            <w:vAlign w:val="center"/>
          </w:tcPr>
          <w:p w:rsidR="0053526C" w:rsidRDefault="00BC6101">
            <w:pPr>
              <w:keepNext/>
              <w:keepLines/>
              <w:spacing w:after="0" w:line="240" w:lineRule="auto"/>
            </w:pPr>
            <w:r>
              <w:rPr>
                <w:sz w:val="18"/>
              </w:rPr>
              <w:t>Obrazovanje (šifre 091+092+093+094+095+096+097+098)</w:t>
            </w:r>
          </w:p>
        </w:tc>
        <w:tc>
          <w:tcPr>
            <w:tcW w:w="700" w:type="dxa"/>
            <w:tcMar>
              <w:top w:w="0" w:type="dxa"/>
              <w:bottom w:w="0" w:type="dxa"/>
            </w:tcMar>
            <w:vAlign w:val="center"/>
          </w:tcPr>
          <w:p w:rsidR="0053526C" w:rsidRDefault="00BC6101">
            <w:pPr>
              <w:keepNext/>
              <w:keepLines/>
              <w:spacing w:after="0" w:line="240" w:lineRule="auto"/>
            </w:pPr>
            <w:r>
              <w:rPr>
                <w:sz w:val="18"/>
              </w:rPr>
              <w:t>09</w:t>
            </w:r>
          </w:p>
        </w:tc>
        <w:tc>
          <w:tcPr>
            <w:tcW w:w="1860" w:type="dxa"/>
            <w:tcMar>
              <w:top w:w="0" w:type="dxa"/>
              <w:bottom w:w="0" w:type="dxa"/>
            </w:tcMar>
            <w:vAlign w:val="center"/>
          </w:tcPr>
          <w:p w:rsidR="0053526C" w:rsidRDefault="00BC6101">
            <w:pPr>
              <w:keepNext/>
              <w:keepLines/>
              <w:spacing w:after="0" w:line="240" w:lineRule="auto"/>
              <w:jc w:val="right"/>
            </w:pPr>
            <w:r>
              <w:rPr>
                <w:sz w:val="18"/>
              </w:rPr>
              <w:t>1.257.156,24</w:t>
            </w:r>
          </w:p>
        </w:tc>
        <w:tc>
          <w:tcPr>
            <w:tcW w:w="1860" w:type="dxa"/>
            <w:tcMar>
              <w:top w:w="0" w:type="dxa"/>
              <w:bottom w:w="0" w:type="dxa"/>
            </w:tcMar>
            <w:vAlign w:val="center"/>
          </w:tcPr>
          <w:p w:rsidR="0053526C" w:rsidRDefault="00BC6101">
            <w:pPr>
              <w:keepNext/>
              <w:keepLines/>
              <w:spacing w:after="0" w:line="240" w:lineRule="auto"/>
              <w:jc w:val="right"/>
            </w:pPr>
            <w:r>
              <w:rPr>
                <w:sz w:val="18"/>
              </w:rPr>
              <w:t>1.534.695,87</w:t>
            </w:r>
          </w:p>
        </w:tc>
        <w:tc>
          <w:tcPr>
            <w:tcW w:w="700" w:type="dxa"/>
            <w:tcMar>
              <w:top w:w="0" w:type="dxa"/>
              <w:bottom w:w="0" w:type="dxa"/>
            </w:tcMar>
            <w:vAlign w:val="center"/>
          </w:tcPr>
          <w:p w:rsidR="0053526C" w:rsidRDefault="00BC6101">
            <w:pPr>
              <w:keepNext/>
              <w:keepLines/>
              <w:spacing w:after="0" w:line="240" w:lineRule="auto"/>
              <w:jc w:val="right"/>
            </w:pPr>
            <w:r>
              <w:rPr>
                <w:sz w:val="18"/>
              </w:rPr>
              <w:t>122,1</w:t>
            </w:r>
          </w:p>
        </w:tc>
      </w:tr>
    </w:tbl>
    <w:p w:rsidR="0053526C" w:rsidRDefault="0053526C">
      <w:pPr>
        <w:spacing w:after="0"/>
      </w:pPr>
    </w:p>
    <w:p w:rsidR="0053526C" w:rsidRDefault="00BC6101">
      <w:r>
        <w:t>Na  poziciju obrazovanje uvršteni su svi rashodi - pozicija Y345 iz obrasca PR-RAS u iznosu od 1.534.695,87 eura.</w:t>
      </w:r>
    </w:p>
    <w:p w:rsidR="0053526C" w:rsidRDefault="0053526C"/>
    <w:p w:rsidR="0053526C" w:rsidRDefault="00BC6101">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BC6101">
            <w:pPr>
              <w:keepNext/>
              <w:keepLines/>
              <w:spacing w:after="0" w:line="240" w:lineRule="auto"/>
            </w:pPr>
            <w:r>
              <w:rPr>
                <w:sz w:val="18"/>
              </w:rPr>
              <w:t>096</w:t>
            </w:r>
          </w:p>
        </w:tc>
        <w:tc>
          <w:tcPr>
            <w:tcW w:w="3180" w:type="dxa"/>
            <w:tcMar>
              <w:top w:w="0" w:type="dxa"/>
              <w:bottom w:w="0" w:type="dxa"/>
            </w:tcMar>
            <w:vAlign w:val="center"/>
          </w:tcPr>
          <w:p w:rsidR="0053526C" w:rsidRDefault="00BC6101">
            <w:pPr>
              <w:keepNext/>
              <w:keepLines/>
              <w:spacing w:after="0" w:line="240" w:lineRule="auto"/>
            </w:pPr>
            <w:r>
              <w:rPr>
                <w:sz w:val="18"/>
              </w:rPr>
              <w:t>Dodatne usluge u obrazovanju</w:t>
            </w:r>
          </w:p>
        </w:tc>
        <w:tc>
          <w:tcPr>
            <w:tcW w:w="700" w:type="dxa"/>
            <w:tcMar>
              <w:top w:w="0" w:type="dxa"/>
              <w:bottom w:w="0" w:type="dxa"/>
            </w:tcMar>
            <w:vAlign w:val="center"/>
          </w:tcPr>
          <w:p w:rsidR="0053526C" w:rsidRDefault="00BC6101">
            <w:pPr>
              <w:keepNext/>
              <w:keepLines/>
              <w:spacing w:after="0" w:line="240" w:lineRule="auto"/>
            </w:pPr>
            <w:r>
              <w:rPr>
                <w:sz w:val="18"/>
              </w:rPr>
              <w:t>096</w:t>
            </w:r>
          </w:p>
        </w:tc>
        <w:tc>
          <w:tcPr>
            <w:tcW w:w="1860" w:type="dxa"/>
            <w:tcMar>
              <w:top w:w="0" w:type="dxa"/>
              <w:bottom w:w="0" w:type="dxa"/>
            </w:tcMar>
            <w:vAlign w:val="center"/>
          </w:tcPr>
          <w:p w:rsidR="0053526C" w:rsidRDefault="00BC6101">
            <w:pPr>
              <w:keepNext/>
              <w:keepLines/>
              <w:spacing w:after="0" w:line="240" w:lineRule="auto"/>
              <w:jc w:val="right"/>
            </w:pPr>
            <w:r>
              <w:rPr>
                <w:sz w:val="18"/>
              </w:rPr>
              <w:t>47.096,14</w:t>
            </w:r>
          </w:p>
        </w:tc>
        <w:tc>
          <w:tcPr>
            <w:tcW w:w="1860" w:type="dxa"/>
            <w:tcMar>
              <w:top w:w="0" w:type="dxa"/>
              <w:bottom w:w="0" w:type="dxa"/>
            </w:tcMar>
            <w:vAlign w:val="center"/>
          </w:tcPr>
          <w:p w:rsidR="0053526C" w:rsidRDefault="00BC6101">
            <w:pPr>
              <w:keepNext/>
              <w:keepLines/>
              <w:spacing w:after="0" w:line="240" w:lineRule="auto"/>
              <w:jc w:val="right"/>
            </w:pPr>
            <w:r>
              <w:rPr>
                <w:sz w:val="18"/>
              </w:rPr>
              <w:t>47.692,21</w:t>
            </w:r>
          </w:p>
        </w:tc>
        <w:tc>
          <w:tcPr>
            <w:tcW w:w="700" w:type="dxa"/>
            <w:tcMar>
              <w:top w:w="0" w:type="dxa"/>
              <w:bottom w:w="0" w:type="dxa"/>
            </w:tcMar>
            <w:vAlign w:val="center"/>
          </w:tcPr>
          <w:p w:rsidR="0053526C" w:rsidRDefault="00BC6101">
            <w:pPr>
              <w:keepNext/>
              <w:keepLines/>
              <w:spacing w:after="0" w:line="240" w:lineRule="auto"/>
              <w:jc w:val="right"/>
            </w:pPr>
            <w:r>
              <w:rPr>
                <w:sz w:val="18"/>
              </w:rPr>
              <w:t>101,3</w:t>
            </w:r>
          </w:p>
        </w:tc>
      </w:tr>
    </w:tbl>
    <w:p w:rsidR="0053526C" w:rsidRDefault="0053526C">
      <w:pPr>
        <w:spacing w:after="0"/>
      </w:pPr>
    </w:p>
    <w:p w:rsidR="0053526C" w:rsidRDefault="00BC6101">
      <w:r>
        <w:t>U dodatne usluge u obrazovanju uvršteni su rashodi za prehranu učenika u iznosu od 47.692,21 eura.</w:t>
      </w:r>
    </w:p>
    <w:p w:rsidR="0053526C" w:rsidRDefault="0053526C"/>
    <w:p w:rsidR="0053526C" w:rsidRDefault="00BC6101">
      <w:pPr>
        <w:keepNext/>
        <w:spacing w:line="240" w:lineRule="auto"/>
        <w:jc w:val="center"/>
      </w:pPr>
      <w:r>
        <w:rPr>
          <w:b/>
          <w:sz w:val="28"/>
        </w:rPr>
        <w:lastRenderedPageBreak/>
        <w:t>Promjene u vrijednosti i obujmu imovine i obveza</w:t>
      </w:r>
    </w:p>
    <w:p w:rsidR="0053526C" w:rsidRDefault="00BC6101">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Proizvedena dugotrajna imovina</w:t>
            </w:r>
          </w:p>
        </w:tc>
        <w:tc>
          <w:tcPr>
            <w:tcW w:w="700" w:type="dxa"/>
            <w:tcMar>
              <w:top w:w="0" w:type="dxa"/>
              <w:bottom w:w="0" w:type="dxa"/>
            </w:tcMar>
            <w:vAlign w:val="center"/>
          </w:tcPr>
          <w:p w:rsidR="0053526C" w:rsidRDefault="00BC6101">
            <w:pPr>
              <w:keepNext/>
              <w:keepLines/>
              <w:spacing w:after="0" w:line="240" w:lineRule="auto"/>
            </w:pPr>
            <w:r>
              <w:rPr>
                <w:sz w:val="18"/>
              </w:rPr>
              <w:t>P003</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1860" w:type="dxa"/>
            <w:tcMar>
              <w:top w:w="0" w:type="dxa"/>
              <w:bottom w:w="0" w:type="dxa"/>
            </w:tcMar>
            <w:vAlign w:val="center"/>
          </w:tcPr>
          <w:p w:rsidR="0053526C" w:rsidRDefault="00BC6101">
            <w:pPr>
              <w:keepNext/>
              <w:keepLines/>
              <w:spacing w:after="0" w:line="240" w:lineRule="auto"/>
              <w:jc w:val="right"/>
            </w:pPr>
            <w:r>
              <w:rPr>
                <w:sz w:val="18"/>
              </w:rPr>
              <w:t>40.595,28</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 xml:space="preserve">Na šifri P003 </w:t>
      </w:r>
      <w:proofErr w:type="spellStart"/>
      <w:r>
        <w:t>evidentitrana</w:t>
      </w:r>
      <w:proofErr w:type="spellEnd"/>
      <w:r>
        <w:t xml:space="preserve"> je promjena u vrijednosti imovine odnosno smanjenje za ispravak proizvedene dugotrajne imovine u iznosu od 40.595,28 eura.</w:t>
      </w:r>
    </w:p>
    <w:p w:rsidR="0053526C" w:rsidRDefault="0053526C"/>
    <w:p w:rsidR="0053526C" w:rsidRDefault="00BC6101">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Promjene u obujmu nefinancijske imovine (šifre P017 do P022)</w:t>
            </w:r>
          </w:p>
        </w:tc>
        <w:tc>
          <w:tcPr>
            <w:tcW w:w="700" w:type="dxa"/>
            <w:tcMar>
              <w:top w:w="0" w:type="dxa"/>
              <w:bottom w:w="0" w:type="dxa"/>
            </w:tcMar>
            <w:vAlign w:val="center"/>
          </w:tcPr>
          <w:p w:rsidR="0053526C" w:rsidRDefault="00BC6101">
            <w:pPr>
              <w:keepNext/>
              <w:keepLines/>
              <w:spacing w:after="0" w:line="240" w:lineRule="auto"/>
            </w:pPr>
            <w:r>
              <w:rPr>
                <w:sz w:val="18"/>
              </w:rPr>
              <w:t>P016</w:t>
            </w:r>
          </w:p>
        </w:tc>
        <w:tc>
          <w:tcPr>
            <w:tcW w:w="1860" w:type="dxa"/>
            <w:tcMar>
              <w:top w:w="0" w:type="dxa"/>
              <w:bottom w:w="0" w:type="dxa"/>
            </w:tcMar>
            <w:vAlign w:val="center"/>
          </w:tcPr>
          <w:p w:rsidR="0053526C" w:rsidRDefault="00BC6101">
            <w:pPr>
              <w:keepNext/>
              <w:keepLines/>
              <w:spacing w:after="0" w:line="240" w:lineRule="auto"/>
              <w:jc w:val="right"/>
            </w:pPr>
            <w:r>
              <w:rPr>
                <w:sz w:val="18"/>
              </w:rPr>
              <w:t>1.000,00</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0</w:t>
            </w:r>
          </w:p>
        </w:tc>
      </w:tr>
    </w:tbl>
    <w:p w:rsidR="0053526C" w:rsidRDefault="0053526C">
      <w:pPr>
        <w:spacing w:after="0"/>
      </w:pPr>
    </w:p>
    <w:p w:rsidR="0053526C" w:rsidRDefault="00BC6101">
      <w:r>
        <w:t>Na šifri P016 evidentirana je promjena u obujmu imovine odnosno povećanje vrijednosti za iznos donirane slike iz općinskog proračuna u vrijednosti 1.000,00 eura.</w:t>
      </w:r>
    </w:p>
    <w:p w:rsidR="0053526C" w:rsidRDefault="0053526C"/>
    <w:p w:rsidR="0053526C" w:rsidRDefault="00BC6101">
      <w:pPr>
        <w:keepNext/>
        <w:spacing w:line="240" w:lineRule="auto"/>
        <w:jc w:val="center"/>
      </w:pPr>
      <w:r>
        <w:rPr>
          <w:b/>
          <w:sz w:val="28"/>
        </w:rPr>
        <w:t>Izvještaj o obvezama</w:t>
      </w:r>
    </w:p>
    <w:p w:rsidR="0053526C" w:rsidRDefault="00BC6101">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rsidR="0053526C" w:rsidRDefault="00BC6101">
            <w:pPr>
              <w:keepNext/>
              <w:keepLines/>
              <w:spacing w:after="0" w:line="240" w:lineRule="auto"/>
            </w:pPr>
            <w:r>
              <w:rPr>
                <w:sz w:val="18"/>
              </w:rPr>
              <w:t>V006</w:t>
            </w:r>
          </w:p>
        </w:tc>
        <w:tc>
          <w:tcPr>
            <w:tcW w:w="1860" w:type="dxa"/>
            <w:tcMar>
              <w:top w:w="0" w:type="dxa"/>
              <w:bottom w:w="0" w:type="dxa"/>
            </w:tcMar>
            <w:vAlign w:val="center"/>
          </w:tcPr>
          <w:p w:rsidR="0053526C" w:rsidRDefault="00BC6101">
            <w:pPr>
              <w:keepNext/>
              <w:keepLines/>
              <w:spacing w:after="0" w:line="240" w:lineRule="auto"/>
              <w:jc w:val="right"/>
            </w:pPr>
            <w:r>
              <w:rPr>
                <w:sz w:val="18"/>
              </w:rPr>
              <w:t>112.806,52</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Na kraju obračunskog razdoblja ostale su nepodmirene nedospjele obaveze iznosu od 112.806,52  eura, a sastoje se od slijedećih obaveza:</w:t>
      </w:r>
    </w:p>
    <w:p w:rsidR="0053526C" w:rsidRDefault="00BC6101">
      <w:r>
        <w:t>-        obaveze za zaposlene (plaće i ostali rashodi za  zaposlene 12-2025.) u iznosu od 103.458,26 eura,</w:t>
      </w:r>
    </w:p>
    <w:p w:rsidR="0053526C" w:rsidRDefault="00BC6101">
      <w:r>
        <w:t> -       obaveze za  materijalne rashode u iznosu od                                                               9.348,26 eura,</w:t>
      </w:r>
    </w:p>
    <w:p w:rsidR="0053526C" w:rsidRDefault="00BC6101">
      <w:r>
        <w:t> </w:t>
      </w:r>
    </w:p>
    <w:p w:rsidR="0053526C" w:rsidRDefault="0053526C"/>
    <w:p w:rsidR="0053526C" w:rsidRDefault="00BC6101">
      <w:pPr>
        <w:keepNext/>
        <w:spacing w:line="240" w:lineRule="auto"/>
        <w:jc w:val="center"/>
      </w:pPr>
      <w:r>
        <w:rPr>
          <w:sz w:val="28"/>
        </w:rPr>
        <w:lastRenderedPageBreak/>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53526C">
        <w:trPr>
          <w:cantSplit/>
        </w:trPr>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53526C" w:rsidRDefault="00BC6101">
            <w:pPr>
              <w:keepNext/>
              <w:keepLines/>
              <w:spacing w:after="0" w:line="240" w:lineRule="auto"/>
              <w:jc w:val="center"/>
            </w:pPr>
            <w:r>
              <w:rPr>
                <w:b/>
                <w:sz w:val="18"/>
              </w:rPr>
              <w:t>Indeks (%)</w:t>
            </w:r>
          </w:p>
        </w:tc>
      </w:tr>
      <w:tr w:rsidR="0053526C">
        <w:trPr>
          <w:cantSplit/>
          <w:trHeight w:val="560"/>
        </w:trPr>
        <w:tc>
          <w:tcPr>
            <w:tcW w:w="700" w:type="dxa"/>
            <w:tcMar>
              <w:top w:w="0" w:type="dxa"/>
              <w:bottom w:w="0" w:type="dxa"/>
            </w:tcMar>
            <w:vAlign w:val="center"/>
          </w:tcPr>
          <w:p w:rsidR="0053526C" w:rsidRDefault="0053526C">
            <w:pPr>
              <w:keepNext/>
              <w:keepLines/>
              <w:spacing w:after="0" w:line="240" w:lineRule="auto"/>
            </w:pPr>
          </w:p>
        </w:tc>
        <w:tc>
          <w:tcPr>
            <w:tcW w:w="3180" w:type="dxa"/>
            <w:tcMar>
              <w:top w:w="0" w:type="dxa"/>
              <w:bottom w:w="0" w:type="dxa"/>
            </w:tcMar>
            <w:vAlign w:val="center"/>
          </w:tcPr>
          <w:p w:rsidR="0053526C" w:rsidRDefault="00BC6101">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53526C" w:rsidRDefault="00BC6101">
            <w:pPr>
              <w:keepNext/>
              <w:keepLines/>
              <w:spacing w:after="0" w:line="240" w:lineRule="auto"/>
            </w:pPr>
            <w:r>
              <w:rPr>
                <w:sz w:val="18"/>
              </w:rPr>
              <w:t>V007</w:t>
            </w:r>
          </w:p>
        </w:tc>
        <w:tc>
          <w:tcPr>
            <w:tcW w:w="1860" w:type="dxa"/>
            <w:tcMar>
              <w:top w:w="0" w:type="dxa"/>
              <w:bottom w:w="0" w:type="dxa"/>
            </w:tcMar>
            <w:vAlign w:val="center"/>
          </w:tcPr>
          <w:p w:rsidR="0053526C" w:rsidRDefault="00BC6101">
            <w:pPr>
              <w:keepNext/>
              <w:keepLines/>
              <w:spacing w:after="0" w:line="240" w:lineRule="auto"/>
              <w:jc w:val="right"/>
            </w:pPr>
            <w:r>
              <w:rPr>
                <w:sz w:val="18"/>
              </w:rPr>
              <w:t>0,00</w:t>
            </w:r>
          </w:p>
        </w:tc>
        <w:tc>
          <w:tcPr>
            <w:tcW w:w="700" w:type="dxa"/>
            <w:tcMar>
              <w:top w:w="0" w:type="dxa"/>
              <w:bottom w:w="0" w:type="dxa"/>
            </w:tcMar>
            <w:vAlign w:val="center"/>
          </w:tcPr>
          <w:p w:rsidR="0053526C" w:rsidRDefault="00BC6101">
            <w:pPr>
              <w:keepNext/>
              <w:keepLines/>
              <w:spacing w:after="0" w:line="240" w:lineRule="auto"/>
              <w:jc w:val="right"/>
            </w:pPr>
            <w:r>
              <w:rPr>
                <w:sz w:val="18"/>
              </w:rPr>
              <w:t>-</w:t>
            </w:r>
          </w:p>
        </w:tc>
      </w:tr>
    </w:tbl>
    <w:p w:rsidR="0053526C" w:rsidRDefault="0053526C">
      <w:pPr>
        <w:spacing w:after="0"/>
      </w:pPr>
    </w:p>
    <w:p w:rsidR="0053526C" w:rsidRDefault="00BC6101">
      <w:r>
        <w:t>Škola na dan 31. 12. 2025. nema dospjelih obaveza.</w:t>
      </w:r>
    </w:p>
    <w:p w:rsidR="0053526C" w:rsidRDefault="0053526C"/>
    <w:p w:rsidR="0053526C" w:rsidRDefault="00BC6101">
      <w:pPr>
        <w:keepNext/>
        <w:spacing w:line="240" w:lineRule="auto"/>
        <w:jc w:val="center"/>
      </w:pPr>
      <w:r>
        <w:rPr>
          <w:sz w:val="28"/>
        </w:rPr>
        <w:t>Bilješka 52.</w:t>
      </w:r>
    </w:p>
    <w:p w:rsidR="0053526C" w:rsidRDefault="00BC6101">
      <w:pPr>
        <w:spacing w:line="240" w:lineRule="auto"/>
        <w:jc w:val="both"/>
      </w:pPr>
      <w:r>
        <w:rPr>
          <w:b/>
        </w:rPr>
        <w:t>EU izvještaj</w:t>
      </w:r>
    </w:p>
    <w:p w:rsidR="0053526C" w:rsidRDefault="00BC6101">
      <w:r>
        <w:t>EU izvještaj popunjen je na slijedećim izvorima: 561 - Europski socijalni fond., 581- Mehanizam za oporavak i otpornost - bespovratna sredstva i Nacionalno sufinanciranje</w:t>
      </w:r>
    </w:p>
    <w:p w:rsidR="0053526C" w:rsidRDefault="00BC6101">
      <w:r>
        <w:t>Pod Nacionalno sufinanciranje uvršteni su prihodi i rashodi za dio plaća i ostalih rashoda za zaposlene pomoćnika u nastavi u projektu Baltazar iz izvora 1.1.  opći prihodi i primici i iz izvora 5.2. Ministarstvo. Prihodi - projekt Baltazar iz izvora 1.1. opći prihodi i primici iskazani su u iznosu od 2.986,58 eura, dok su rashodi iz navedenog izvora iskazani u iznosu od 3.229,74 eura, rashodi su veći od prihoda za iznos troškova plaće i prijevoza na posao za 12.2025. godine za koje će prihod biti priznat u 01. m. 2026. godine. Prihodi - projekt Baltazar iz izvora 5.2. iskazani su u iznosu od  3.733,48 eura, dok su rashodi iz navedenog izvora iskazani u iznosu od 4.037,46 eura, rashodi su veći od prihoda za iznos troškova plaće i prijevoza na posao za 12.2025. godine za koje će prihod biti priznat u 01. m. 2026.</w:t>
      </w:r>
      <w:r w:rsidR="00D761A9">
        <w:t xml:space="preserve"> godine. </w:t>
      </w:r>
      <w:r>
        <w:t xml:space="preserve">      Pod Nacionalno sufinanciranje iskazani su prihodi i rashodi iz projekta NPOO iz izvora 1.1. </w:t>
      </w:r>
      <w:r w:rsidR="00D761A9">
        <w:t xml:space="preserve">    </w:t>
      </w:r>
      <w:r>
        <w:t>u iznosu od 18.796,63 eura.                                                     </w:t>
      </w:r>
      <w:r w:rsidR="00D761A9">
        <w:t xml:space="preserve">                                                   </w:t>
      </w:r>
      <w:r>
        <w:t>U izvor 561 Europski socijalni fond uvršteni su prihodi  u iznosu od 21.156,49 eura i rashodi  u iznosu od 22.879,08 eura - projekta Baltazar iz izvora 5.7. za plaće i ostale rashode za zaposlene iz projekta Baltazar. Rashodi su veći za iznos troškova plaće i prijevoza za 12.m. 2025</w:t>
      </w:r>
      <w:r w:rsidR="00D761A9">
        <w:t xml:space="preserve">. godine.                                                                                                                                       </w:t>
      </w:r>
      <w:bookmarkStart w:id="0" w:name="_GoBack"/>
      <w:bookmarkEnd w:id="0"/>
      <w:r>
        <w:t>Prihodi i rashodi iz projekta NPOO iz izvora 5.7. uvršteni su na izvor 581 Mehanizam za oporavak i otpornost u iznosu od 12.250,00 eura.                                                  </w:t>
      </w:r>
    </w:p>
    <w:p w:rsidR="0053526C" w:rsidRDefault="00BC6101">
      <w:r>
        <w:t> </w:t>
      </w:r>
    </w:p>
    <w:p w:rsidR="0053526C" w:rsidRDefault="0053526C"/>
    <w:sectPr w:rsidR="005352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53526C"/>
    <w:rsid w:val="00376D3A"/>
    <w:rsid w:val="0053526C"/>
    <w:rsid w:val="00BC6101"/>
    <w:rsid w:val="00D761A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80513"/>
  <w15:docId w15:val="{10DA30C2-1B47-4DC0-9596-9C0867D7D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17</Pages>
  <Words>4727</Words>
  <Characters>26945</Characters>
  <Application>Microsoft Office Word</Application>
  <DocSecurity>0</DocSecurity>
  <Lines>224</Lines>
  <Paragraphs>63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Učitelj</cp:lastModifiedBy>
  <cp:revision>3</cp:revision>
  <dcterms:created xsi:type="dcterms:W3CDTF">2026-02-01T20:29:00Z</dcterms:created>
  <dcterms:modified xsi:type="dcterms:W3CDTF">2026-02-01T20:56:00Z</dcterms:modified>
</cp:coreProperties>
</file>